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0C1B" w14:textId="77777777" w:rsidR="00261C23" w:rsidRPr="00980309" w:rsidRDefault="00261C23" w:rsidP="00261C23">
      <w:pPr>
        <w:spacing w:after="0" w:line="240" w:lineRule="auto"/>
        <w:rPr>
          <w:rFonts w:ascii="Arial" w:eastAsia="Times New Roman" w:hAnsi="Arial" w:cs="Arial"/>
          <w:b/>
          <w:iCs/>
          <w:sz w:val="24"/>
          <w:szCs w:val="24"/>
          <w:lang w:val="en-GB" w:eastAsia="en-GB"/>
        </w:rPr>
      </w:pPr>
      <w:r>
        <w:rPr>
          <w:rFonts w:ascii="Arial" w:eastAsia="Times New Roman" w:hAnsi="Arial" w:cs="Arial"/>
          <w:b/>
          <w:sz w:val="24"/>
          <w:szCs w:val="24"/>
          <w:lang w:val="en-GB" w:eastAsia="en-GB"/>
        </w:rPr>
        <w:t>T</w:t>
      </w:r>
      <w:r w:rsidRPr="00854047">
        <w:rPr>
          <w:rFonts w:ascii="Arial" w:eastAsia="Times New Roman" w:hAnsi="Arial" w:cs="Arial"/>
          <w:b/>
          <w:sz w:val="24"/>
          <w:szCs w:val="24"/>
          <w:lang w:val="en-GB" w:eastAsia="en-GB"/>
        </w:rPr>
        <w:t xml:space="preserve">able </w:t>
      </w:r>
      <w:r>
        <w:rPr>
          <w:rFonts w:ascii="Arial" w:eastAsia="Times New Roman" w:hAnsi="Arial" w:cs="Arial"/>
          <w:b/>
          <w:sz w:val="24"/>
          <w:szCs w:val="24"/>
          <w:lang w:val="en-GB" w:eastAsia="en-GB"/>
        </w:rPr>
        <w:t>1</w:t>
      </w:r>
      <w:r w:rsidRPr="00854047">
        <w:rPr>
          <w:rFonts w:ascii="Arial" w:eastAsia="Times New Roman" w:hAnsi="Arial" w:cs="Arial"/>
          <w:b/>
          <w:sz w:val="24"/>
          <w:szCs w:val="24"/>
          <w:lang w:val="en-GB" w:eastAsia="en-GB"/>
        </w:rPr>
        <w:t>:</w:t>
      </w:r>
      <w:r w:rsidRPr="00854047">
        <w:rPr>
          <w:rFonts w:ascii="Arial" w:eastAsia="Times New Roman" w:hAnsi="Arial" w:cs="Arial"/>
          <w:sz w:val="24"/>
          <w:szCs w:val="24"/>
          <w:lang w:val="en-GB" w:eastAsia="en-GB"/>
        </w:rPr>
        <w:t xml:space="preserve"> </w:t>
      </w:r>
      <w:r w:rsidRPr="00980309">
        <w:rPr>
          <w:rFonts w:ascii="Arial" w:eastAsia="Times New Roman" w:hAnsi="Arial" w:cs="Arial"/>
          <w:b/>
          <w:iCs/>
          <w:sz w:val="24"/>
          <w:szCs w:val="24"/>
          <w:lang w:val="en-GB" w:eastAsia="en-GB"/>
        </w:rPr>
        <w:t>The</w:t>
      </w:r>
      <w:r>
        <w:rPr>
          <w:rFonts w:ascii="Arial" w:eastAsia="Times New Roman" w:hAnsi="Arial" w:cs="Arial"/>
          <w:b/>
          <w:iCs/>
          <w:sz w:val="24"/>
          <w:szCs w:val="24"/>
          <w:lang w:val="en-GB" w:eastAsia="en-GB"/>
        </w:rPr>
        <w:t xml:space="preserve"> selection of contract form and arrangements</w:t>
      </w:r>
      <w:r w:rsidRPr="00980309">
        <w:rPr>
          <w:rFonts w:ascii="Arial" w:eastAsia="Times New Roman" w:hAnsi="Arial" w:cs="Arial"/>
          <w:b/>
          <w:iCs/>
          <w:sz w:val="24"/>
          <w:szCs w:val="24"/>
          <w:lang w:val="en-GB" w:eastAsia="en-GB"/>
        </w:rPr>
        <w:t>: the issues</w:t>
      </w:r>
      <w:r>
        <w:rPr>
          <w:rFonts w:ascii="Arial" w:eastAsia="Times New Roman" w:hAnsi="Arial" w:cs="Arial"/>
          <w:b/>
          <w:iCs/>
          <w:sz w:val="24"/>
          <w:szCs w:val="24"/>
          <w:lang w:val="en-GB" w:eastAsia="en-GB"/>
        </w:rPr>
        <w:t xml:space="preserve"> arising from the PFI experience </w:t>
      </w:r>
    </w:p>
    <w:tbl>
      <w:tblPr>
        <w:tblStyle w:val="TableGrid"/>
        <w:tblW w:w="9355" w:type="dxa"/>
        <w:tblLook w:val="01E0" w:firstRow="1" w:lastRow="1" w:firstColumn="1" w:lastColumn="1" w:noHBand="0" w:noVBand="0"/>
      </w:tblPr>
      <w:tblGrid>
        <w:gridCol w:w="417"/>
        <w:gridCol w:w="1777"/>
        <w:gridCol w:w="3539"/>
        <w:gridCol w:w="3622"/>
      </w:tblGrid>
      <w:tr w:rsidR="00261C23" w:rsidRPr="00854047" w14:paraId="1C98F7C1" w14:textId="77777777" w:rsidTr="00393103">
        <w:trPr>
          <w:tblHeader/>
        </w:trPr>
        <w:tc>
          <w:tcPr>
            <w:tcW w:w="0" w:type="auto"/>
          </w:tcPr>
          <w:p w14:paraId="080E5D60" w14:textId="77777777" w:rsidR="00261C23" w:rsidRPr="00854047" w:rsidRDefault="00261C23" w:rsidP="00393103">
            <w:pPr>
              <w:rPr>
                <w:rFonts w:ascii="Arial" w:hAnsi="Arial" w:cs="Arial"/>
                <w:sz w:val="24"/>
                <w:szCs w:val="24"/>
                <w:lang w:val="en-GB" w:eastAsia="en-GB"/>
              </w:rPr>
            </w:pPr>
          </w:p>
        </w:tc>
        <w:tc>
          <w:tcPr>
            <w:tcW w:w="1777" w:type="dxa"/>
          </w:tcPr>
          <w:p w14:paraId="2A20DF21" w14:textId="77777777" w:rsidR="00261C23" w:rsidRPr="00854047" w:rsidRDefault="00261C23" w:rsidP="00393103">
            <w:pPr>
              <w:rPr>
                <w:rFonts w:ascii="Arial" w:hAnsi="Arial" w:cs="Arial"/>
                <w:sz w:val="24"/>
                <w:szCs w:val="24"/>
                <w:lang w:val="en-GB" w:eastAsia="en-GB"/>
              </w:rPr>
            </w:pPr>
            <w:r w:rsidRPr="00854047">
              <w:rPr>
                <w:rFonts w:ascii="Arial" w:hAnsi="Arial" w:cs="Arial"/>
                <w:b/>
                <w:sz w:val="24"/>
                <w:szCs w:val="24"/>
                <w:lang w:val="en-GB" w:eastAsia="en-GB"/>
              </w:rPr>
              <w:t>Issue</w:t>
            </w:r>
          </w:p>
        </w:tc>
        <w:tc>
          <w:tcPr>
            <w:tcW w:w="3539" w:type="dxa"/>
          </w:tcPr>
          <w:p w14:paraId="4A1CB1C1"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Primary concern</w:t>
            </w:r>
          </w:p>
        </w:tc>
        <w:tc>
          <w:tcPr>
            <w:tcW w:w="3622" w:type="dxa"/>
          </w:tcPr>
          <w:p w14:paraId="49DC1EDE" w14:textId="77777777" w:rsidR="00261C23" w:rsidRPr="00854047" w:rsidRDefault="00261C23" w:rsidP="00393103">
            <w:pPr>
              <w:rPr>
                <w:rFonts w:ascii="Arial" w:hAnsi="Arial" w:cs="Arial"/>
                <w:b/>
                <w:sz w:val="24"/>
                <w:szCs w:val="24"/>
                <w:lang w:val="en-GB" w:eastAsia="en-GB"/>
              </w:rPr>
            </w:pPr>
            <w:r>
              <w:rPr>
                <w:rFonts w:ascii="Arial" w:hAnsi="Arial" w:cs="Arial"/>
                <w:b/>
                <w:sz w:val="24"/>
                <w:szCs w:val="24"/>
                <w:lang w:val="en-GB" w:eastAsia="en-GB"/>
              </w:rPr>
              <w:t xml:space="preserve">Wider dimension </w:t>
            </w:r>
          </w:p>
        </w:tc>
      </w:tr>
      <w:tr w:rsidR="00261C23" w:rsidRPr="00854047" w14:paraId="48F7CCA8" w14:textId="77777777" w:rsidTr="00393103">
        <w:trPr>
          <w:cantSplit/>
        </w:trPr>
        <w:tc>
          <w:tcPr>
            <w:tcW w:w="0" w:type="auto"/>
          </w:tcPr>
          <w:p w14:paraId="33655712"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2</w:t>
            </w:r>
          </w:p>
        </w:tc>
        <w:tc>
          <w:tcPr>
            <w:tcW w:w="1777" w:type="dxa"/>
          </w:tcPr>
          <w:p w14:paraId="51CA0A9B"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Financing cost</w:t>
            </w:r>
          </w:p>
          <w:p w14:paraId="4F05B792" w14:textId="77777777" w:rsidR="00261C23" w:rsidRPr="00854047" w:rsidRDefault="00261C23" w:rsidP="00393103">
            <w:pPr>
              <w:rPr>
                <w:rFonts w:ascii="Arial" w:hAnsi="Arial" w:cs="Arial"/>
                <w:b/>
                <w:sz w:val="24"/>
                <w:szCs w:val="24"/>
                <w:lang w:val="en-GB" w:eastAsia="en-GB"/>
              </w:rPr>
            </w:pPr>
          </w:p>
        </w:tc>
        <w:tc>
          <w:tcPr>
            <w:tcW w:w="3539" w:type="dxa"/>
          </w:tcPr>
          <w:p w14:paraId="29603F05"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Private sector pays more for investment finance than public sector</w:t>
            </w:r>
            <w:r>
              <w:rPr>
                <w:rFonts w:ascii="Arial" w:hAnsi="Arial" w:cs="Arial"/>
                <w:sz w:val="24"/>
                <w:szCs w:val="24"/>
                <w:lang w:val="en-GB" w:eastAsia="en-GB"/>
              </w:rPr>
              <w:t>: between 2-4% more than cost of government gilts, higher during periods of financial stress, such as GFC</w:t>
            </w:r>
            <w:r w:rsidRPr="00854047">
              <w:rPr>
                <w:rFonts w:ascii="Arial" w:hAnsi="Arial" w:cs="Arial"/>
                <w:sz w:val="24"/>
                <w:szCs w:val="24"/>
                <w:lang w:val="en-GB" w:eastAsia="en-GB"/>
              </w:rPr>
              <w:t xml:space="preserve">. </w:t>
            </w:r>
          </w:p>
          <w:p w14:paraId="6C5E7AA1"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 xml:space="preserve">Equity and debt cost of capital is higher to the private sector with </w:t>
            </w:r>
            <w:r w:rsidRPr="00854047">
              <w:rPr>
                <w:rFonts w:ascii="Arial" w:hAnsi="Arial" w:cs="Arial"/>
                <w:sz w:val="24"/>
                <w:szCs w:val="24"/>
                <w:lang w:val="en-GB" w:eastAsia="en-GB"/>
              </w:rPr>
              <w:t>project risk</w:t>
            </w:r>
            <w:r>
              <w:rPr>
                <w:rFonts w:ascii="Arial" w:hAnsi="Arial" w:cs="Arial"/>
                <w:sz w:val="24"/>
                <w:szCs w:val="24"/>
                <w:lang w:val="en-GB" w:eastAsia="en-GB"/>
              </w:rPr>
              <w:t xml:space="preserve"> is priced-in. The</w:t>
            </w:r>
            <w:r w:rsidRPr="00854047">
              <w:rPr>
                <w:rFonts w:ascii="Arial" w:hAnsi="Arial" w:cs="Arial"/>
                <w:sz w:val="24"/>
                <w:szCs w:val="24"/>
                <w:lang w:val="en-GB" w:eastAsia="en-GB"/>
              </w:rPr>
              <w:t xml:space="preserve"> private sector also does not have benefit of Treasury no-default guarantee and the ability to raise finance wholesale through Public Works Loans Fund. </w:t>
            </w:r>
          </w:p>
          <w:p w14:paraId="7F936E31" w14:textId="77777777" w:rsidR="00261C23" w:rsidRDefault="00261C23" w:rsidP="00393103">
            <w:pPr>
              <w:rPr>
                <w:rFonts w:ascii="Arial" w:hAnsi="Arial" w:cs="Arial"/>
                <w:sz w:val="24"/>
                <w:szCs w:val="24"/>
                <w:lang w:val="en-GB" w:eastAsia="en-GB"/>
              </w:rPr>
            </w:pPr>
          </w:p>
          <w:p w14:paraId="55F749CE" w14:textId="77777777" w:rsidR="00261C23" w:rsidRDefault="00261C23" w:rsidP="00393103">
            <w:pPr>
              <w:rPr>
                <w:rFonts w:ascii="Arial" w:hAnsi="Arial" w:cs="Arial"/>
                <w:sz w:val="24"/>
                <w:szCs w:val="24"/>
                <w:lang w:val="en-GB" w:eastAsia="en-GB"/>
              </w:rPr>
            </w:pPr>
            <w:r w:rsidRPr="003F66D6">
              <w:rPr>
                <w:rFonts w:ascii="Arial" w:hAnsi="Arial" w:cs="Arial"/>
                <w:sz w:val="24"/>
                <w:szCs w:val="24"/>
                <w:lang w:val="en-GB" w:eastAsia="en-GB"/>
              </w:rPr>
              <w:t xml:space="preserve">NAO reports that </w:t>
            </w:r>
            <w:r>
              <w:rPr>
                <w:rFonts w:ascii="Arial" w:hAnsi="Arial" w:cs="Arial"/>
                <w:sz w:val="24"/>
                <w:szCs w:val="24"/>
                <w:lang w:val="en-GB" w:eastAsia="en-GB"/>
              </w:rPr>
              <w:t xml:space="preserve">redeeming </w:t>
            </w:r>
            <w:r w:rsidRPr="00A60D23">
              <w:rPr>
                <w:rFonts w:ascii="Arial" w:hAnsi="Arial" w:cs="Arial"/>
                <w:sz w:val="24"/>
                <w:szCs w:val="24"/>
                <w:lang w:val="en-GB" w:eastAsia="en-GB"/>
              </w:rPr>
              <w:t>a debt of £100 million over 30 years with interest of 2% costs £34 million in interest; at 4% this more than doubles to £73 million</w:t>
            </w:r>
            <w:r>
              <w:rPr>
                <w:rFonts w:ascii="Arial" w:hAnsi="Arial" w:cs="Arial"/>
                <w:sz w:val="24"/>
                <w:szCs w:val="24"/>
                <w:lang w:val="en-GB" w:eastAsia="en-GB"/>
              </w:rPr>
              <w:t>.</w:t>
            </w:r>
          </w:p>
          <w:p w14:paraId="0AD7555B" w14:textId="77777777" w:rsidR="00261C23" w:rsidRDefault="00261C23" w:rsidP="00393103">
            <w:pPr>
              <w:rPr>
                <w:rFonts w:ascii="Arial" w:hAnsi="Arial" w:cs="Arial"/>
                <w:sz w:val="24"/>
                <w:szCs w:val="24"/>
                <w:lang w:val="en-GB" w:eastAsia="en-GB"/>
              </w:rPr>
            </w:pPr>
          </w:p>
          <w:p w14:paraId="01F23EA8" w14:textId="77777777" w:rsidR="00261C23" w:rsidRPr="00854047" w:rsidRDefault="00261C23" w:rsidP="00393103">
            <w:pPr>
              <w:rPr>
                <w:rFonts w:ascii="Arial" w:hAnsi="Arial" w:cs="Arial"/>
                <w:sz w:val="24"/>
                <w:szCs w:val="24"/>
                <w:lang w:val="en-GB" w:eastAsia="en-GB"/>
              </w:rPr>
            </w:pPr>
            <w:r>
              <w:rPr>
                <w:rFonts w:ascii="Arial" w:hAnsi="Arial" w:cs="Arial"/>
                <w:sz w:val="24"/>
                <w:szCs w:val="24"/>
                <w:lang w:val="en-GB" w:eastAsia="en-GB"/>
              </w:rPr>
              <w:t>Other additional costs that SPV’s need to cover, including insurance, external advisers, cash reserves, and management fees add c2% to contract cost.</w:t>
            </w:r>
          </w:p>
          <w:p w14:paraId="455A6828" w14:textId="77777777" w:rsidR="00261C23" w:rsidRPr="00854047" w:rsidRDefault="00261C23" w:rsidP="00393103">
            <w:pPr>
              <w:rPr>
                <w:rFonts w:ascii="Arial" w:hAnsi="Arial" w:cs="Arial"/>
                <w:sz w:val="24"/>
                <w:szCs w:val="24"/>
                <w:lang w:val="en-GB" w:eastAsia="en-GB"/>
              </w:rPr>
            </w:pPr>
          </w:p>
        </w:tc>
        <w:tc>
          <w:tcPr>
            <w:tcW w:w="3622" w:type="dxa"/>
          </w:tcPr>
          <w:p w14:paraId="385A980E"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The differential in financing cost </w:t>
            </w:r>
            <w:r>
              <w:rPr>
                <w:rFonts w:ascii="Arial" w:hAnsi="Arial" w:cs="Arial"/>
                <w:sz w:val="24"/>
                <w:szCs w:val="24"/>
                <w:lang w:val="en-GB" w:eastAsia="en-GB"/>
              </w:rPr>
              <w:t xml:space="preserve">should </w:t>
            </w:r>
            <w:r w:rsidRPr="00854047">
              <w:rPr>
                <w:rFonts w:ascii="Arial" w:hAnsi="Arial" w:cs="Arial"/>
                <w:sz w:val="24"/>
                <w:szCs w:val="24"/>
                <w:lang w:val="en-GB" w:eastAsia="en-GB"/>
              </w:rPr>
              <w:t>reflect the transfer of investment and operating risk to the private sector</w:t>
            </w:r>
            <w:r>
              <w:rPr>
                <w:rFonts w:ascii="Arial" w:hAnsi="Arial" w:cs="Arial"/>
                <w:sz w:val="24"/>
                <w:szCs w:val="24"/>
                <w:lang w:val="en-GB" w:eastAsia="en-GB"/>
              </w:rPr>
              <w:t>, but differential cost of finance has resulted in PFI projects proving more expensive in whole project—life terms.</w:t>
            </w:r>
          </w:p>
          <w:p w14:paraId="0688338C" w14:textId="77777777" w:rsidR="00261C23" w:rsidRDefault="00261C23" w:rsidP="00393103"/>
          <w:p w14:paraId="322E28E6" w14:textId="77777777" w:rsidR="00261C23" w:rsidRPr="00854047" w:rsidRDefault="00261C23" w:rsidP="00393103">
            <w:pPr>
              <w:rPr>
                <w:rFonts w:ascii="Arial" w:hAnsi="Arial" w:cs="Arial"/>
                <w:sz w:val="24"/>
                <w:szCs w:val="24"/>
                <w:lang w:val="en-GB" w:eastAsia="en-GB"/>
              </w:rPr>
            </w:pPr>
          </w:p>
          <w:p w14:paraId="2FE3CB62"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Differential</w:t>
            </w:r>
            <w:r w:rsidRPr="00854047">
              <w:rPr>
                <w:rFonts w:ascii="Arial" w:hAnsi="Arial" w:cs="Arial"/>
                <w:sz w:val="24"/>
                <w:szCs w:val="24"/>
                <w:lang w:val="en-GB" w:eastAsia="en-GB"/>
              </w:rPr>
              <w:t xml:space="preserve"> </w:t>
            </w:r>
            <w:r>
              <w:rPr>
                <w:rFonts w:ascii="Arial" w:hAnsi="Arial" w:cs="Arial"/>
                <w:sz w:val="24"/>
                <w:szCs w:val="24"/>
                <w:lang w:val="en-GB" w:eastAsia="en-GB"/>
              </w:rPr>
              <w:t>might be</w:t>
            </w:r>
            <w:r w:rsidRPr="00854047">
              <w:rPr>
                <w:rFonts w:ascii="Arial" w:hAnsi="Arial" w:cs="Arial"/>
                <w:sz w:val="24"/>
                <w:szCs w:val="24"/>
                <w:lang w:val="en-GB" w:eastAsia="en-GB"/>
              </w:rPr>
              <w:t xml:space="preserve"> expected to narrow </w:t>
            </w:r>
            <w:r>
              <w:rPr>
                <w:rFonts w:ascii="Arial" w:hAnsi="Arial" w:cs="Arial"/>
                <w:sz w:val="24"/>
                <w:szCs w:val="24"/>
                <w:lang w:val="en-GB" w:eastAsia="en-GB"/>
              </w:rPr>
              <w:t xml:space="preserve">as PPP provision and </w:t>
            </w:r>
            <w:r w:rsidRPr="00854047">
              <w:rPr>
                <w:rFonts w:ascii="Arial" w:hAnsi="Arial" w:cs="Arial"/>
                <w:sz w:val="24"/>
                <w:szCs w:val="24"/>
                <w:lang w:val="en-GB" w:eastAsia="en-GB"/>
              </w:rPr>
              <w:t>financing instruments become more sophisticated and competitive</w:t>
            </w:r>
            <w:r>
              <w:rPr>
                <w:rFonts w:ascii="Arial" w:hAnsi="Arial" w:cs="Arial"/>
                <w:sz w:val="24"/>
                <w:szCs w:val="24"/>
                <w:lang w:val="en-GB" w:eastAsia="en-GB"/>
              </w:rPr>
              <w:t xml:space="preserve"> within a mature market, but as text explains managed rather than mature competitive market is more likely, and additional finance costs will always tend to make private procurement more expensive. </w:t>
            </w:r>
            <w:r w:rsidRPr="00854047">
              <w:rPr>
                <w:rFonts w:ascii="Arial" w:hAnsi="Arial" w:cs="Arial"/>
                <w:sz w:val="24"/>
                <w:szCs w:val="24"/>
                <w:lang w:val="en-GB" w:eastAsia="en-GB"/>
              </w:rPr>
              <w:t xml:space="preserve"> </w:t>
            </w:r>
          </w:p>
          <w:p w14:paraId="50FE418C" w14:textId="77777777" w:rsidR="00261C23" w:rsidRDefault="00261C23" w:rsidP="00393103">
            <w:pPr>
              <w:rPr>
                <w:rFonts w:ascii="Arial" w:hAnsi="Arial" w:cs="Arial"/>
                <w:sz w:val="24"/>
                <w:szCs w:val="24"/>
                <w:lang w:val="en-GB" w:eastAsia="en-GB"/>
              </w:rPr>
            </w:pPr>
          </w:p>
          <w:p w14:paraId="4525749F" w14:textId="77777777" w:rsidR="00261C23" w:rsidRPr="00854047" w:rsidRDefault="00261C23" w:rsidP="00393103">
            <w:pPr>
              <w:rPr>
                <w:rFonts w:ascii="Arial" w:hAnsi="Arial" w:cs="Arial"/>
                <w:sz w:val="24"/>
                <w:szCs w:val="24"/>
                <w:lang w:val="en-GB" w:eastAsia="en-GB"/>
              </w:rPr>
            </w:pPr>
          </w:p>
        </w:tc>
      </w:tr>
      <w:tr w:rsidR="00261C23" w:rsidRPr="00854047" w14:paraId="3204872A" w14:textId="77777777" w:rsidTr="00393103">
        <w:tc>
          <w:tcPr>
            <w:tcW w:w="0" w:type="auto"/>
          </w:tcPr>
          <w:p w14:paraId="65731B27"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3</w:t>
            </w:r>
          </w:p>
        </w:tc>
        <w:tc>
          <w:tcPr>
            <w:tcW w:w="1777" w:type="dxa"/>
          </w:tcPr>
          <w:p w14:paraId="0BE58402"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Transaction and monitoring costs</w:t>
            </w:r>
          </w:p>
        </w:tc>
        <w:tc>
          <w:tcPr>
            <w:tcW w:w="3539" w:type="dxa"/>
          </w:tcPr>
          <w:p w14:paraId="7F05F639"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Large amounts spent on consultants and other bid costs that ultimately are passed back to public client (£450m in case of London Tube PPP).</w:t>
            </w:r>
          </w:p>
          <w:p w14:paraId="22C3DD13" w14:textId="77777777" w:rsidR="00261C23" w:rsidRPr="00854047" w:rsidRDefault="00261C23" w:rsidP="00393103">
            <w:pPr>
              <w:rPr>
                <w:rFonts w:ascii="Arial" w:hAnsi="Arial" w:cs="Arial"/>
                <w:sz w:val="24"/>
                <w:szCs w:val="24"/>
                <w:lang w:val="en-GB" w:eastAsia="en-GB"/>
              </w:rPr>
            </w:pPr>
          </w:p>
          <w:p w14:paraId="4F04D8D3" w14:textId="77777777" w:rsidR="00261C23" w:rsidRDefault="00261C23" w:rsidP="00393103">
            <w:pPr>
              <w:rPr>
                <w:rFonts w:ascii="Arial" w:hAnsi="Arial" w:cs="Arial"/>
                <w:sz w:val="24"/>
                <w:szCs w:val="24"/>
                <w:lang w:val="en-GB" w:eastAsia="en-GB"/>
              </w:rPr>
            </w:pPr>
          </w:p>
          <w:p w14:paraId="07FEF5F7" w14:textId="77777777" w:rsidR="00261C23" w:rsidRDefault="00261C23" w:rsidP="00393103">
            <w:pPr>
              <w:rPr>
                <w:rFonts w:ascii="Arial" w:hAnsi="Arial" w:cs="Arial"/>
                <w:sz w:val="24"/>
                <w:szCs w:val="24"/>
                <w:lang w:val="en-GB" w:eastAsia="en-GB"/>
              </w:rPr>
            </w:pPr>
          </w:p>
          <w:p w14:paraId="5B2EBA01" w14:textId="77777777" w:rsidR="00261C23" w:rsidRDefault="00261C23" w:rsidP="00393103">
            <w:pPr>
              <w:rPr>
                <w:rFonts w:ascii="Arial" w:hAnsi="Arial" w:cs="Arial"/>
                <w:sz w:val="24"/>
                <w:szCs w:val="24"/>
                <w:lang w:val="en-GB" w:eastAsia="en-GB"/>
              </w:rPr>
            </w:pPr>
          </w:p>
          <w:p w14:paraId="2AA297D3" w14:textId="77777777" w:rsidR="00261C23" w:rsidRDefault="00261C23" w:rsidP="00393103">
            <w:pPr>
              <w:rPr>
                <w:rFonts w:ascii="Arial" w:hAnsi="Arial" w:cs="Arial"/>
                <w:sz w:val="24"/>
                <w:szCs w:val="24"/>
                <w:lang w:val="en-GB" w:eastAsia="en-GB"/>
              </w:rPr>
            </w:pPr>
          </w:p>
          <w:p w14:paraId="3AA73CDD" w14:textId="77777777" w:rsidR="00261C23" w:rsidRDefault="00261C23" w:rsidP="00393103">
            <w:pPr>
              <w:rPr>
                <w:rFonts w:ascii="Arial" w:hAnsi="Arial" w:cs="Arial"/>
                <w:sz w:val="24"/>
                <w:szCs w:val="24"/>
                <w:lang w:val="en-GB" w:eastAsia="en-GB"/>
              </w:rPr>
            </w:pPr>
          </w:p>
          <w:p w14:paraId="3CD6C181" w14:textId="77777777" w:rsidR="00261C23" w:rsidRDefault="00261C23" w:rsidP="00393103">
            <w:pPr>
              <w:rPr>
                <w:rFonts w:ascii="Arial" w:hAnsi="Arial" w:cs="Arial"/>
                <w:sz w:val="24"/>
                <w:szCs w:val="24"/>
                <w:lang w:val="en-GB" w:eastAsia="en-GB"/>
              </w:rPr>
            </w:pPr>
          </w:p>
          <w:p w14:paraId="15CA35D3" w14:textId="77777777" w:rsidR="00261C23" w:rsidRDefault="00261C23" w:rsidP="00393103">
            <w:pPr>
              <w:rPr>
                <w:rFonts w:ascii="Arial" w:hAnsi="Arial" w:cs="Arial"/>
                <w:sz w:val="24"/>
                <w:szCs w:val="24"/>
                <w:lang w:val="en-GB" w:eastAsia="en-GB"/>
              </w:rPr>
            </w:pPr>
          </w:p>
          <w:p w14:paraId="097FAFD4" w14:textId="77777777" w:rsidR="00261C23" w:rsidRDefault="00261C23" w:rsidP="00393103">
            <w:pPr>
              <w:rPr>
                <w:rFonts w:ascii="Arial" w:hAnsi="Arial" w:cs="Arial"/>
                <w:sz w:val="24"/>
                <w:szCs w:val="24"/>
                <w:lang w:val="en-GB" w:eastAsia="en-GB"/>
              </w:rPr>
            </w:pPr>
          </w:p>
          <w:p w14:paraId="02891922" w14:textId="77777777" w:rsidR="00261C23" w:rsidRDefault="00261C23" w:rsidP="00393103">
            <w:pPr>
              <w:rPr>
                <w:rFonts w:ascii="Arial" w:hAnsi="Arial" w:cs="Arial"/>
                <w:sz w:val="24"/>
                <w:szCs w:val="24"/>
                <w:lang w:val="en-GB" w:eastAsia="en-GB"/>
              </w:rPr>
            </w:pPr>
          </w:p>
          <w:p w14:paraId="6095DAE8"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Public client must establish monitoring arrangements that then add to the cost of the scheme</w:t>
            </w:r>
            <w:r>
              <w:rPr>
                <w:rFonts w:ascii="Arial" w:hAnsi="Arial" w:cs="Arial"/>
                <w:sz w:val="24"/>
                <w:szCs w:val="24"/>
                <w:lang w:val="en-GB" w:eastAsia="en-GB"/>
              </w:rPr>
              <w:t xml:space="preserve">, which can be over complicated, cumbersome, and difficult to apply at proportionate cost. </w:t>
            </w:r>
          </w:p>
          <w:p w14:paraId="6FFBE0E7" w14:textId="77777777" w:rsidR="00261C23" w:rsidRPr="00854047" w:rsidRDefault="00261C23" w:rsidP="00393103">
            <w:pPr>
              <w:rPr>
                <w:rFonts w:ascii="Arial" w:hAnsi="Arial" w:cs="Arial"/>
                <w:sz w:val="24"/>
                <w:szCs w:val="24"/>
                <w:lang w:val="en-GB" w:eastAsia="en-GB"/>
              </w:rPr>
            </w:pPr>
          </w:p>
          <w:p w14:paraId="2CF000F8" w14:textId="77777777" w:rsidR="00261C23" w:rsidRDefault="00261C23" w:rsidP="00393103">
            <w:pPr>
              <w:rPr>
                <w:rFonts w:ascii="Arial" w:hAnsi="Arial" w:cs="Arial"/>
                <w:sz w:val="24"/>
                <w:szCs w:val="24"/>
                <w:lang w:val="en-GB" w:eastAsia="en-GB"/>
              </w:rPr>
            </w:pPr>
          </w:p>
          <w:p w14:paraId="0E61F819" w14:textId="77777777" w:rsidR="00261C23" w:rsidRPr="00854047" w:rsidRDefault="00261C23" w:rsidP="00393103">
            <w:pPr>
              <w:rPr>
                <w:rFonts w:ascii="Arial" w:hAnsi="Arial" w:cs="Arial"/>
                <w:sz w:val="24"/>
                <w:szCs w:val="24"/>
                <w:lang w:val="en-GB" w:eastAsia="en-GB"/>
              </w:rPr>
            </w:pPr>
          </w:p>
        </w:tc>
        <w:tc>
          <w:tcPr>
            <w:tcW w:w="3622" w:type="dxa"/>
          </w:tcPr>
          <w:p w14:paraId="5F778DEE"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lastRenderedPageBreak/>
              <w:t>Development of standardised documentation and procurement templates should help to reduce project transaction costs as successful models are replicated and both client and contractors become more familiar with the process.</w:t>
            </w:r>
          </w:p>
          <w:p w14:paraId="088CBBCE" w14:textId="77777777" w:rsidR="00261C23" w:rsidRPr="00854047" w:rsidRDefault="00261C23" w:rsidP="00393103">
            <w:pPr>
              <w:rPr>
                <w:rFonts w:ascii="Arial" w:hAnsi="Arial" w:cs="Arial"/>
                <w:sz w:val="24"/>
                <w:szCs w:val="24"/>
                <w:lang w:val="en-GB" w:eastAsia="en-GB"/>
              </w:rPr>
            </w:pPr>
          </w:p>
          <w:p w14:paraId="1A0D873C"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T</w:t>
            </w:r>
            <w:r w:rsidRPr="00854047">
              <w:rPr>
                <w:rFonts w:ascii="Arial" w:hAnsi="Arial" w:cs="Arial"/>
                <w:sz w:val="24"/>
                <w:szCs w:val="24"/>
                <w:lang w:val="en-GB" w:eastAsia="en-GB"/>
              </w:rPr>
              <w:t>he proportion of total costs taken by transaction costs</w:t>
            </w:r>
            <w:r>
              <w:rPr>
                <w:rFonts w:ascii="Arial" w:hAnsi="Arial" w:cs="Arial"/>
                <w:sz w:val="24"/>
                <w:szCs w:val="24"/>
                <w:lang w:val="en-GB" w:eastAsia="en-GB"/>
              </w:rPr>
              <w:t xml:space="preserve"> should reduce with the scale of the project</w:t>
            </w:r>
            <w:r w:rsidRPr="00854047">
              <w:rPr>
                <w:rFonts w:ascii="Arial" w:hAnsi="Arial" w:cs="Arial"/>
                <w:sz w:val="24"/>
                <w:szCs w:val="24"/>
                <w:lang w:val="en-GB" w:eastAsia="en-GB"/>
              </w:rPr>
              <w:t>.</w:t>
            </w:r>
          </w:p>
          <w:p w14:paraId="1409C185" w14:textId="77777777" w:rsidR="00261C23" w:rsidRPr="00854047" w:rsidRDefault="00261C23" w:rsidP="00393103">
            <w:pPr>
              <w:rPr>
                <w:rFonts w:ascii="Arial" w:hAnsi="Arial" w:cs="Arial"/>
                <w:sz w:val="24"/>
                <w:szCs w:val="24"/>
                <w:lang w:val="en-GB" w:eastAsia="en-GB"/>
              </w:rPr>
            </w:pPr>
          </w:p>
          <w:p w14:paraId="5551D20C" w14:textId="77777777" w:rsidR="00261C23" w:rsidRPr="00854047" w:rsidRDefault="00261C23" w:rsidP="00393103">
            <w:pPr>
              <w:rPr>
                <w:rFonts w:ascii="Arial" w:hAnsi="Arial" w:cs="Arial"/>
                <w:sz w:val="24"/>
                <w:szCs w:val="24"/>
                <w:lang w:val="en-GB" w:eastAsia="en-GB"/>
              </w:rPr>
            </w:pPr>
          </w:p>
          <w:p w14:paraId="3EF4022E"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Monitoring arrangements should be based</w:t>
            </w:r>
            <w:r>
              <w:rPr>
                <w:rFonts w:ascii="Arial" w:hAnsi="Arial" w:cs="Arial"/>
                <w:sz w:val="24"/>
                <w:szCs w:val="24"/>
                <w:lang w:val="en-GB" w:eastAsia="en-GB"/>
              </w:rPr>
              <w:t xml:space="preserve">, where appropriate and practicable, </w:t>
            </w:r>
            <w:r w:rsidRPr="00854047">
              <w:rPr>
                <w:rFonts w:ascii="Arial" w:hAnsi="Arial" w:cs="Arial"/>
                <w:sz w:val="24"/>
                <w:szCs w:val="24"/>
                <w:lang w:val="en-GB" w:eastAsia="en-GB"/>
              </w:rPr>
              <w:t xml:space="preserve">on </w:t>
            </w:r>
            <w:r>
              <w:rPr>
                <w:rFonts w:ascii="Arial" w:hAnsi="Arial" w:cs="Arial"/>
                <w:sz w:val="24"/>
                <w:szCs w:val="24"/>
                <w:lang w:val="en-GB" w:eastAsia="en-GB"/>
              </w:rPr>
              <w:t xml:space="preserve">Supplier </w:t>
            </w:r>
            <w:r w:rsidRPr="00854047">
              <w:rPr>
                <w:rFonts w:ascii="Arial" w:hAnsi="Arial" w:cs="Arial"/>
                <w:sz w:val="24"/>
                <w:szCs w:val="24"/>
                <w:lang w:val="en-GB" w:eastAsia="en-GB"/>
              </w:rPr>
              <w:t>self</w:t>
            </w:r>
            <w:r>
              <w:rPr>
                <w:rFonts w:ascii="Arial" w:hAnsi="Arial" w:cs="Arial"/>
                <w:sz w:val="24"/>
                <w:szCs w:val="24"/>
                <w:lang w:val="en-GB" w:eastAsia="en-GB"/>
              </w:rPr>
              <w:t>-</w:t>
            </w:r>
            <w:r w:rsidRPr="00854047">
              <w:rPr>
                <w:rFonts w:ascii="Arial" w:hAnsi="Arial" w:cs="Arial"/>
                <w:sz w:val="24"/>
                <w:szCs w:val="24"/>
                <w:lang w:val="en-GB" w:eastAsia="en-GB"/>
              </w:rPr>
              <w:t>reporting and quality assurance</w:t>
            </w:r>
            <w:r>
              <w:rPr>
                <w:rFonts w:ascii="Arial" w:hAnsi="Arial" w:cs="Arial"/>
                <w:sz w:val="24"/>
                <w:szCs w:val="24"/>
                <w:lang w:val="en-GB" w:eastAsia="en-GB"/>
              </w:rPr>
              <w:t xml:space="preserve">, verified </w:t>
            </w:r>
            <w:r w:rsidRPr="00854047">
              <w:rPr>
                <w:rFonts w:ascii="Arial" w:hAnsi="Arial" w:cs="Arial"/>
                <w:sz w:val="24"/>
                <w:szCs w:val="24"/>
                <w:lang w:val="en-GB" w:eastAsia="en-GB"/>
              </w:rPr>
              <w:t xml:space="preserve">by </w:t>
            </w:r>
            <w:r>
              <w:rPr>
                <w:rFonts w:ascii="Arial" w:hAnsi="Arial" w:cs="Arial"/>
                <w:sz w:val="24"/>
                <w:szCs w:val="24"/>
                <w:lang w:val="en-GB" w:eastAsia="en-GB"/>
              </w:rPr>
              <w:t>C</w:t>
            </w:r>
            <w:r w:rsidRPr="00854047">
              <w:rPr>
                <w:rFonts w:ascii="Arial" w:hAnsi="Arial" w:cs="Arial"/>
                <w:sz w:val="24"/>
                <w:szCs w:val="24"/>
                <w:lang w:val="en-GB" w:eastAsia="en-GB"/>
              </w:rPr>
              <w:t>lient reality checking the delivery of defined service standards and outcomes</w:t>
            </w:r>
            <w:r>
              <w:rPr>
                <w:rFonts w:ascii="Arial" w:hAnsi="Arial" w:cs="Arial"/>
                <w:sz w:val="24"/>
                <w:szCs w:val="24"/>
                <w:lang w:val="en-GB" w:eastAsia="en-GB"/>
              </w:rPr>
              <w:t>, with robust rectification contractual process linked to Supplier-fault default and termination provisions.</w:t>
            </w:r>
            <w:r w:rsidRPr="00854047">
              <w:rPr>
                <w:rFonts w:ascii="Arial" w:hAnsi="Arial" w:cs="Arial"/>
                <w:sz w:val="24"/>
                <w:szCs w:val="24"/>
                <w:lang w:val="en-GB" w:eastAsia="en-GB"/>
              </w:rPr>
              <w:t xml:space="preserve"> </w:t>
            </w:r>
          </w:p>
        </w:tc>
      </w:tr>
      <w:tr w:rsidR="00261C23" w:rsidRPr="00854047" w14:paraId="6509DAB7" w14:textId="77777777" w:rsidTr="00393103">
        <w:trPr>
          <w:cantSplit/>
        </w:trPr>
        <w:tc>
          <w:tcPr>
            <w:tcW w:w="0" w:type="auto"/>
          </w:tcPr>
          <w:p w14:paraId="72C211AC"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lastRenderedPageBreak/>
              <w:t>4</w:t>
            </w:r>
          </w:p>
        </w:tc>
        <w:tc>
          <w:tcPr>
            <w:tcW w:w="1777" w:type="dxa"/>
          </w:tcPr>
          <w:p w14:paraId="1A2CF543"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Termination risk</w:t>
            </w:r>
          </w:p>
        </w:tc>
        <w:tc>
          <w:tcPr>
            <w:tcW w:w="3539" w:type="dxa"/>
          </w:tcPr>
          <w:p w14:paraId="49C9D5E5"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Risk of expensive termination costs linked to a change in client requirements over contract term: for example, a hospital or school becoming surplus to requirements. </w:t>
            </w:r>
          </w:p>
          <w:p w14:paraId="5F1F81C4" w14:textId="77777777" w:rsidR="00261C23" w:rsidRPr="00854047" w:rsidRDefault="00261C23" w:rsidP="00393103">
            <w:pPr>
              <w:rPr>
                <w:rFonts w:ascii="Arial" w:hAnsi="Arial" w:cs="Arial"/>
                <w:sz w:val="24"/>
                <w:szCs w:val="24"/>
                <w:lang w:val="en-GB" w:eastAsia="en-GB"/>
              </w:rPr>
            </w:pPr>
            <w:r>
              <w:rPr>
                <w:rFonts w:ascii="Arial" w:hAnsi="Arial" w:cs="Arial"/>
                <w:sz w:val="24"/>
                <w:szCs w:val="24"/>
                <w:lang w:val="en-GB" w:eastAsia="en-GB"/>
              </w:rPr>
              <w:t xml:space="preserve"> </w:t>
            </w:r>
          </w:p>
          <w:p w14:paraId="56C2124B" w14:textId="77777777" w:rsidR="00261C23" w:rsidRDefault="00261C23" w:rsidP="00393103">
            <w:pPr>
              <w:rPr>
                <w:rFonts w:ascii="Arial" w:hAnsi="Arial" w:cs="Arial"/>
                <w:sz w:val="24"/>
                <w:szCs w:val="24"/>
                <w:lang w:val="en-GB" w:eastAsia="en-GB"/>
              </w:rPr>
            </w:pPr>
          </w:p>
          <w:p w14:paraId="6E44BC22"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Change-in-law and policy risk</w:t>
            </w:r>
            <w:r>
              <w:rPr>
                <w:rFonts w:ascii="Arial" w:hAnsi="Arial" w:cs="Arial"/>
                <w:sz w:val="24"/>
                <w:szCs w:val="24"/>
                <w:lang w:val="en-GB" w:eastAsia="en-GB"/>
              </w:rPr>
              <w:t xml:space="preserve">.  </w:t>
            </w:r>
          </w:p>
          <w:p w14:paraId="5DF24BFA" w14:textId="77777777" w:rsidR="00261C23" w:rsidRDefault="00261C23" w:rsidP="00393103">
            <w:pPr>
              <w:rPr>
                <w:rFonts w:ascii="Arial" w:hAnsi="Arial" w:cs="Arial"/>
                <w:sz w:val="24"/>
                <w:szCs w:val="24"/>
                <w:lang w:val="en-GB" w:eastAsia="en-GB"/>
              </w:rPr>
            </w:pPr>
          </w:p>
          <w:p w14:paraId="335997C1"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 xml:space="preserve">Future financial and service delivery autonomy of Foundation Schools, Academies and Hospital Trusts can prove </w:t>
            </w:r>
            <w:r w:rsidRPr="00854047">
              <w:rPr>
                <w:rFonts w:ascii="Arial" w:hAnsi="Arial" w:cs="Arial"/>
                <w:sz w:val="24"/>
                <w:szCs w:val="24"/>
                <w:lang w:val="en-GB" w:eastAsia="en-GB"/>
              </w:rPr>
              <w:t xml:space="preserve">inconsistent with PFI </w:t>
            </w:r>
            <w:r>
              <w:rPr>
                <w:rFonts w:ascii="Arial" w:hAnsi="Arial" w:cs="Arial"/>
                <w:sz w:val="24"/>
                <w:szCs w:val="24"/>
                <w:lang w:val="en-GB" w:eastAsia="en-GB"/>
              </w:rPr>
              <w:t xml:space="preserve">provision and </w:t>
            </w:r>
            <w:r w:rsidRPr="00854047">
              <w:rPr>
                <w:rFonts w:ascii="Arial" w:hAnsi="Arial" w:cs="Arial"/>
                <w:sz w:val="24"/>
                <w:szCs w:val="24"/>
                <w:lang w:val="en-GB" w:eastAsia="en-GB"/>
              </w:rPr>
              <w:t xml:space="preserve">funding. </w:t>
            </w:r>
          </w:p>
          <w:p w14:paraId="0F1F8A1A" w14:textId="77777777" w:rsidR="00261C23" w:rsidRDefault="00261C23" w:rsidP="00393103">
            <w:pPr>
              <w:rPr>
                <w:rFonts w:ascii="Arial" w:hAnsi="Arial" w:cs="Arial"/>
                <w:sz w:val="24"/>
                <w:szCs w:val="24"/>
                <w:lang w:val="en-GB" w:eastAsia="en-GB"/>
              </w:rPr>
            </w:pPr>
          </w:p>
          <w:p w14:paraId="4801C9C2"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The long-term liability of a PFI unitary charge </w:t>
            </w:r>
            <w:r>
              <w:rPr>
                <w:rFonts w:ascii="Arial" w:hAnsi="Arial" w:cs="Arial"/>
                <w:sz w:val="24"/>
                <w:szCs w:val="24"/>
                <w:lang w:val="en-GB" w:eastAsia="en-GB"/>
              </w:rPr>
              <w:t xml:space="preserve">has proved </w:t>
            </w:r>
            <w:r w:rsidRPr="00854047">
              <w:rPr>
                <w:rFonts w:ascii="Arial" w:hAnsi="Arial" w:cs="Arial"/>
                <w:sz w:val="24"/>
                <w:szCs w:val="24"/>
                <w:lang w:val="en-GB" w:eastAsia="en-GB"/>
              </w:rPr>
              <w:t xml:space="preserve">inconsistent with a dynamic market environment where a failed school can be forced to close - unless the risks of such liabilities can be pooled or otherwise managed. </w:t>
            </w:r>
          </w:p>
          <w:p w14:paraId="07A5E7CE" w14:textId="77777777" w:rsidR="00261C23" w:rsidRPr="00854047" w:rsidRDefault="00261C23" w:rsidP="00393103">
            <w:pPr>
              <w:rPr>
                <w:rFonts w:ascii="Arial" w:hAnsi="Arial" w:cs="Arial"/>
                <w:sz w:val="24"/>
                <w:szCs w:val="24"/>
                <w:lang w:val="en-GB" w:eastAsia="en-GB"/>
              </w:rPr>
            </w:pPr>
          </w:p>
        </w:tc>
        <w:tc>
          <w:tcPr>
            <w:tcW w:w="3622" w:type="dxa"/>
          </w:tcPr>
          <w:p w14:paraId="02BA7287"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Need for robust public sector planning and risk analysis at strategic and outline business case stages</w:t>
            </w:r>
            <w:r>
              <w:rPr>
                <w:rFonts w:ascii="Arial" w:hAnsi="Arial" w:cs="Arial"/>
                <w:sz w:val="24"/>
                <w:szCs w:val="24"/>
                <w:lang w:val="en-GB" w:eastAsia="en-GB"/>
              </w:rPr>
              <w:t>, covering project development, construction, operation, and handbook stages.</w:t>
            </w:r>
          </w:p>
          <w:p w14:paraId="45C84A5B" w14:textId="77777777" w:rsidR="00261C23" w:rsidRPr="00854047" w:rsidRDefault="00261C23" w:rsidP="00393103">
            <w:pPr>
              <w:rPr>
                <w:rFonts w:ascii="Arial" w:hAnsi="Arial" w:cs="Arial"/>
                <w:sz w:val="24"/>
                <w:szCs w:val="24"/>
                <w:lang w:val="en-GB" w:eastAsia="en-GB"/>
              </w:rPr>
            </w:pPr>
          </w:p>
          <w:p w14:paraId="2FD9706F" w14:textId="77777777" w:rsidR="00261C23" w:rsidRPr="00854047" w:rsidRDefault="00261C23" w:rsidP="00393103">
            <w:pPr>
              <w:rPr>
                <w:rFonts w:ascii="Arial" w:hAnsi="Arial" w:cs="Arial"/>
                <w:sz w:val="24"/>
                <w:szCs w:val="24"/>
                <w:lang w:val="en-GB" w:eastAsia="en-GB"/>
              </w:rPr>
            </w:pPr>
          </w:p>
          <w:p w14:paraId="43BB27F8" w14:textId="77777777" w:rsidR="00261C23" w:rsidRDefault="00261C23" w:rsidP="00393103">
            <w:pPr>
              <w:rPr>
                <w:rFonts w:ascii="Arial" w:hAnsi="Arial" w:cs="Arial"/>
                <w:sz w:val="24"/>
                <w:szCs w:val="24"/>
                <w:lang w:val="en-GB" w:eastAsia="en-GB"/>
              </w:rPr>
            </w:pPr>
          </w:p>
          <w:p w14:paraId="7DF9202B" w14:textId="77777777" w:rsidR="00261C23" w:rsidRDefault="00261C23" w:rsidP="00393103">
            <w:pPr>
              <w:rPr>
                <w:rFonts w:ascii="Arial" w:hAnsi="Arial" w:cs="Arial"/>
                <w:sz w:val="24"/>
                <w:szCs w:val="24"/>
                <w:lang w:val="en-GB" w:eastAsia="en-GB"/>
              </w:rPr>
            </w:pPr>
          </w:p>
          <w:p w14:paraId="595411F9" w14:textId="77777777" w:rsidR="00261C23" w:rsidRDefault="00261C23" w:rsidP="00393103">
            <w:pPr>
              <w:rPr>
                <w:rFonts w:ascii="Arial" w:hAnsi="Arial" w:cs="Arial"/>
                <w:sz w:val="24"/>
                <w:szCs w:val="24"/>
                <w:lang w:val="en-GB" w:eastAsia="en-GB"/>
              </w:rPr>
            </w:pPr>
          </w:p>
          <w:p w14:paraId="09425D25"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 xml:space="preserve">Identify where </w:t>
            </w:r>
            <w:r w:rsidRPr="00854047">
              <w:rPr>
                <w:rFonts w:ascii="Arial" w:hAnsi="Arial" w:cs="Arial"/>
                <w:sz w:val="24"/>
                <w:szCs w:val="24"/>
                <w:lang w:val="en-GB" w:eastAsia="en-GB"/>
              </w:rPr>
              <w:t>contract flexibility</w:t>
            </w:r>
            <w:r>
              <w:rPr>
                <w:rFonts w:ascii="Arial" w:hAnsi="Arial" w:cs="Arial"/>
                <w:sz w:val="24"/>
                <w:szCs w:val="24"/>
                <w:lang w:val="en-GB" w:eastAsia="en-GB"/>
              </w:rPr>
              <w:t xml:space="preserve"> could be important during contract-life and reflect in doc</w:t>
            </w:r>
            <w:r w:rsidRPr="00854047">
              <w:rPr>
                <w:rFonts w:ascii="Arial" w:hAnsi="Arial" w:cs="Arial"/>
                <w:sz w:val="24"/>
                <w:szCs w:val="24"/>
                <w:lang w:val="en-GB" w:eastAsia="en-GB"/>
              </w:rPr>
              <w:t>umentation.</w:t>
            </w:r>
          </w:p>
          <w:p w14:paraId="51FC0631" w14:textId="77777777" w:rsidR="00261C23" w:rsidRDefault="00261C23" w:rsidP="00393103">
            <w:pPr>
              <w:rPr>
                <w:rFonts w:ascii="Arial" w:hAnsi="Arial" w:cs="Arial"/>
                <w:sz w:val="24"/>
                <w:szCs w:val="24"/>
                <w:lang w:val="en-GB" w:eastAsia="en-GB"/>
              </w:rPr>
            </w:pPr>
          </w:p>
          <w:p w14:paraId="4C867704" w14:textId="77777777" w:rsidR="00261C23" w:rsidRDefault="00261C23" w:rsidP="00393103">
            <w:pPr>
              <w:rPr>
                <w:rFonts w:ascii="Arial" w:hAnsi="Arial" w:cs="Arial"/>
                <w:sz w:val="24"/>
                <w:szCs w:val="24"/>
                <w:lang w:val="en-GB" w:eastAsia="en-GB"/>
              </w:rPr>
            </w:pPr>
          </w:p>
          <w:p w14:paraId="5D90BFE6" w14:textId="77777777" w:rsidR="00261C23" w:rsidRDefault="00261C23" w:rsidP="00393103">
            <w:pPr>
              <w:rPr>
                <w:rFonts w:ascii="Arial" w:hAnsi="Arial" w:cs="Arial"/>
                <w:sz w:val="24"/>
                <w:szCs w:val="24"/>
                <w:lang w:val="en-GB" w:eastAsia="en-GB"/>
              </w:rPr>
            </w:pPr>
          </w:p>
          <w:p w14:paraId="151EC688" w14:textId="77777777" w:rsidR="00261C23" w:rsidRDefault="00261C23" w:rsidP="00393103">
            <w:pPr>
              <w:rPr>
                <w:rFonts w:ascii="Arial" w:hAnsi="Arial" w:cs="Arial"/>
                <w:sz w:val="24"/>
                <w:szCs w:val="24"/>
                <w:lang w:val="en-GB" w:eastAsia="en-GB"/>
              </w:rPr>
            </w:pPr>
          </w:p>
          <w:p w14:paraId="58B2F911" w14:textId="77777777" w:rsidR="00261C23" w:rsidRPr="00854047" w:rsidRDefault="00261C23" w:rsidP="00393103">
            <w:pPr>
              <w:rPr>
                <w:rFonts w:ascii="Arial" w:hAnsi="Arial" w:cs="Arial"/>
                <w:sz w:val="24"/>
                <w:szCs w:val="24"/>
                <w:lang w:val="en-GB" w:eastAsia="en-GB"/>
              </w:rPr>
            </w:pPr>
            <w:r>
              <w:rPr>
                <w:rFonts w:ascii="Arial" w:hAnsi="Arial" w:cs="Arial"/>
                <w:sz w:val="24"/>
                <w:szCs w:val="24"/>
                <w:lang w:val="en-GB" w:eastAsia="en-GB"/>
              </w:rPr>
              <w:t xml:space="preserve">Termination costs of PFI contracts onerous, even catastrophic to Client budgets. </w:t>
            </w:r>
          </w:p>
        </w:tc>
      </w:tr>
      <w:tr w:rsidR="00261C23" w:rsidRPr="00854047" w14:paraId="605E8B58" w14:textId="77777777" w:rsidTr="00393103">
        <w:trPr>
          <w:cantSplit/>
        </w:trPr>
        <w:tc>
          <w:tcPr>
            <w:tcW w:w="0" w:type="auto"/>
          </w:tcPr>
          <w:p w14:paraId="46187AA4"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lastRenderedPageBreak/>
              <w:t>5</w:t>
            </w:r>
          </w:p>
        </w:tc>
        <w:tc>
          <w:tcPr>
            <w:tcW w:w="1777" w:type="dxa"/>
          </w:tcPr>
          <w:p w14:paraId="3425CF74" w14:textId="77777777" w:rsidR="00261C23" w:rsidRPr="00854047" w:rsidRDefault="00261C23" w:rsidP="00393103">
            <w:pPr>
              <w:rPr>
                <w:rFonts w:ascii="Arial" w:hAnsi="Arial" w:cs="Arial"/>
                <w:b/>
                <w:sz w:val="24"/>
                <w:szCs w:val="24"/>
                <w:lang w:val="en-GB" w:eastAsia="en-GB"/>
              </w:rPr>
            </w:pPr>
            <w:r>
              <w:rPr>
                <w:rFonts w:ascii="Arial" w:hAnsi="Arial" w:cs="Arial"/>
                <w:b/>
                <w:sz w:val="24"/>
                <w:szCs w:val="24"/>
                <w:lang w:val="en-GB" w:eastAsia="en-GB"/>
              </w:rPr>
              <w:t xml:space="preserve">Economic and Social Sustainability </w:t>
            </w:r>
          </w:p>
        </w:tc>
        <w:tc>
          <w:tcPr>
            <w:tcW w:w="3539" w:type="dxa"/>
          </w:tcPr>
          <w:p w14:paraId="299461DE"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Some early evidence of use of </w:t>
            </w:r>
            <w:proofErr w:type="spellStart"/>
            <w:r w:rsidRPr="00854047">
              <w:rPr>
                <w:rFonts w:ascii="Arial" w:hAnsi="Arial" w:cs="Arial"/>
                <w:sz w:val="24"/>
                <w:szCs w:val="24"/>
                <w:lang w:val="en-GB" w:eastAsia="en-GB"/>
              </w:rPr>
              <w:t>casualised</w:t>
            </w:r>
            <w:proofErr w:type="spellEnd"/>
            <w:r w:rsidRPr="00854047">
              <w:rPr>
                <w:rFonts w:ascii="Arial" w:hAnsi="Arial" w:cs="Arial"/>
                <w:sz w:val="24"/>
                <w:szCs w:val="24"/>
                <w:lang w:val="en-GB" w:eastAsia="en-GB"/>
              </w:rPr>
              <w:t xml:space="preserve"> labour employed on inferior insecure terms (health service ancillary and cleaning staff) relative to former public sector terms with little o</w:t>
            </w:r>
            <w:r>
              <w:rPr>
                <w:rFonts w:ascii="Arial" w:hAnsi="Arial" w:cs="Arial"/>
                <w:sz w:val="24"/>
                <w:szCs w:val="24"/>
                <w:lang w:val="en-GB" w:eastAsia="en-GB"/>
              </w:rPr>
              <w:t>r</w:t>
            </w:r>
            <w:r w:rsidRPr="00854047">
              <w:rPr>
                <w:rFonts w:ascii="Arial" w:hAnsi="Arial" w:cs="Arial"/>
                <w:sz w:val="24"/>
                <w:szCs w:val="24"/>
                <w:lang w:val="en-GB" w:eastAsia="en-GB"/>
              </w:rPr>
              <w:t xml:space="preserve"> no training opportunities.</w:t>
            </w:r>
          </w:p>
          <w:p w14:paraId="3C7B5B7D" w14:textId="77777777" w:rsidR="00261C23" w:rsidRPr="00854047" w:rsidRDefault="00261C23" w:rsidP="00393103">
            <w:pPr>
              <w:rPr>
                <w:rFonts w:ascii="Arial" w:hAnsi="Arial" w:cs="Arial"/>
                <w:sz w:val="24"/>
                <w:szCs w:val="24"/>
                <w:lang w:val="en-GB" w:eastAsia="en-GB"/>
              </w:rPr>
            </w:pPr>
          </w:p>
          <w:p w14:paraId="63719C15"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Replacement of public</w:t>
            </w:r>
            <w:r>
              <w:rPr>
                <w:rFonts w:ascii="Arial" w:hAnsi="Arial" w:cs="Arial"/>
                <w:sz w:val="24"/>
                <w:szCs w:val="24"/>
                <w:lang w:val="en-GB" w:eastAsia="en-GB"/>
              </w:rPr>
              <w:t>-</w:t>
            </w:r>
            <w:r w:rsidRPr="00854047">
              <w:rPr>
                <w:rFonts w:ascii="Arial" w:hAnsi="Arial" w:cs="Arial"/>
                <w:sz w:val="24"/>
                <w:szCs w:val="24"/>
                <w:lang w:val="en-GB" w:eastAsia="en-GB"/>
              </w:rPr>
              <w:t>sector pensions with inferior money purchase or other schemes</w:t>
            </w:r>
            <w:r>
              <w:rPr>
                <w:rFonts w:ascii="Arial" w:hAnsi="Arial" w:cs="Arial"/>
                <w:sz w:val="24"/>
                <w:szCs w:val="24"/>
                <w:lang w:val="en-GB" w:eastAsia="en-GB"/>
              </w:rPr>
              <w:t>.</w:t>
            </w:r>
          </w:p>
          <w:p w14:paraId="187DAB05" w14:textId="77777777" w:rsidR="00261C23" w:rsidRDefault="00261C23" w:rsidP="00393103">
            <w:pPr>
              <w:rPr>
                <w:rFonts w:ascii="Arial" w:hAnsi="Arial" w:cs="Arial"/>
                <w:sz w:val="24"/>
                <w:szCs w:val="24"/>
                <w:lang w:val="en-GB" w:eastAsia="en-GB"/>
              </w:rPr>
            </w:pPr>
          </w:p>
          <w:p w14:paraId="2816AD0B"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Later concern that companies were importing EU labour on inferior terms, exploiting different social security provisions to minimise UK tax and national insurance contributions, reducing incentive to employ local indigenous workers, but this applies to all forms of procurement,</w:t>
            </w:r>
          </w:p>
          <w:p w14:paraId="08F94AC1" w14:textId="77777777" w:rsidR="00261C23" w:rsidRDefault="00261C23" w:rsidP="00393103">
            <w:pPr>
              <w:rPr>
                <w:rFonts w:ascii="Arial" w:hAnsi="Arial" w:cs="Arial"/>
                <w:sz w:val="24"/>
                <w:szCs w:val="24"/>
                <w:lang w:val="en-GB" w:eastAsia="en-GB"/>
              </w:rPr>
            </w:pPr>
          </w:p>
          <w:p w14:paraId="5EB573BA"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 xml:space="preserve">Clients can specify additionalities, such as employment and training outputs, in specification, but these need to be monitored and verified. </w:t>
            </w:r>
          </w:p>
          <w:p w14:paraId="72258773" w14:textId="77777777" w:rsidR="00261C23" w:rsidRDefault="00261C23" w:rsidP="00393103">
            <w:pPr>
              <w:rPr>
                <w:rFonts w:ascii="Arial" w:hAnsi="Arial" w:cs="Arial"/>
                <w:sz w:val="24"/>
                <w:szCs w:val="24"/>
                <w:lang w:val="en-GB" w:eastAsia="en-GB"/>
              </w:rPr>
            </w:pPr>
          </w:p>
          <w:p w14:paraId="24CA41A9" w14:textId="77777777" w:rsidR="00261C23" w:rsidRPr="00854047" w:rsidRDefault="00261C23" w:rsidP="00393103">
            <w:pPr>
              <w:rPr>
                <w:rFonts w:ascii="Arial" w:hAnsi="Arial" w:cs="Arial"/>
                <w:sz w:val="24"/>
                <w:szCs w:val="24"/>
                <w:lang w:val="en-GB" w:eastAsia="en-GB"/>
              </w:rPr>
            </w:pPr>
            <w:r>
              <w:rPr>
                <w:rFonts w:ascii="Arial" w:hAnsi="Arial" w:cs="Arial"/>
                <w:sz w:val="24"/>
                <w:szCs w:val="24"/>
                <w:lang w:val="en-GB" w:eastAsia="en-GB"/>
              </w:rPr>
              <w:t xml:space="preserve"> </w:t>
            </w:r>
            <w:r w:rsidRPr="00854047">
              <w:rPr>
                <w:rFonts w:ascii="Arial" w:hAnsi="Arial" w:cs="Arial"/>
                <w:sz w:val="24"/>
                <w:szCs w:val="24"/>
                <w:lang w:val="en-GB" w:eastAsia="en-GB"/>
              </w:rPr>
              <w:t xml:space="preserve"> </w:t>
            </w:r>
          </w:p>
        </w:tc>
        <w:tc>
          <w:tcPr>
            <w:tcW w:w="3622" w:type="dxa"/>
          </w:tcPr>
          <w:p w14:paraId="7E45C609"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TUPE protection for existing staff transferred to PFI operator </w:t>
            </w:r>
            <w:r>
              <w:rPr>
                <w:rFonts w:ascii="Arial" w:hAnsi="Arial" w:cs="Arial"/>
                <w:sz w:val="24"/>
                <w:szCs w:val="24"/>
                <w:lang w:val="en-GB" w:eastAsia="en-GB"/>
              </w:rPr>
              <w:t>was</w:t>
            </w:r>
            <w:r w:rsidRPr="00854047">
              <w:rPr>
                <w:rFonts w:ascii="Arial" w:hAnsi="Arial" w:cs="Arial"/>
                <w:sz w:val="24"/>
                <w:szCs w:val="24"/>
                <w:lang w:val="en-GB" w:eastAsia="en-GB"/>
              </w:rPr>
              <w:t xml:space="preserve"> extended to new employees by Cabinet Office guidance.</w:t>
            </w:r>
          </w:p>
          <w:p w14:paraId="55CB38B6" w14:textId="77777777" w:rsidR="00261C23" w:rsidRPr="00854047" w:rsidRDefault="00261C23" w:rsidP="00393103">
            <w:pPr>
              <w:rPr>
                <w:rFonts w:ascii="Arial" w:hAnsi="Arial" w:cs="Arial"/>
                <w:sz w:val="24"/>
                <w:szCs w:val="24"/>
                <w:lang w:val="en-GB" w:eastAsia="en-GB"/>
              </w:rPr>
            </w:pPr>
          </w:p>
          <w:p w14:paraId="704B7841"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This guidance require</w:t>
            </w:r>
            <w:r>
              <w:rPr>
                <w:rFonts w:ascii="Arial" w:hAnsi="Arial" w:cs="Arial"/>
                <w:sz w:val="24"/>
                <w:szCs w:val="24"/>
                <w:lang w:val="en-GB" w:eastAsia="en-GB"/>
              </w:rPr>
              <w:t>d</w:t>
            </w:r>
            <w:r w:rsidRPr="00854047">
              <w:rPr>
                <w:rFonts w:ascii="Arial" w:hAnsi="Arial" w:cs="Arial"/>
                <w:sz w:val="24"/>
                <w:szCs w:val="24"/>
                <w:lang w:val="en-GB" w:eastAsia="en-GB"/>
              </w:rPr>
              <w:t xml:space="preserve"> PFI operator to offer comparable pension arrangements but not necessarily final salary pension. </w:t>
            </w:r>
          </w:p>
          <w:p w14:paraId="1A514329" w14:textId="77777777" w:rsidR="00261C23" w:rsidRDefault="00261C23" w:rsidP="00393103">
            <w:pPr>
              <w:rPr>
                <w:rFonts w:ascii="Arial" w:hAnsi="Arial" w:cs="Arial"/>
                <w:sz w:val="24"/>
                <w:szCs w:val="24"/>
                <w:lang w:val="en-GB" w:eastAsia="en-GB"/>
              </w:rPr>
            </w:pPr>
          </w:p>
          <w:p w14:paraId="3A8A44F3" w14:textId="77777777" w:rsidR="00261C23" w:rsidRDefault="00261C23" w:rsidP="00393103">
            <w:pPr>
              <w:rPr>
                <w:rFonts w:ascii="Arial" w:hAnsi="Arial" w:cs="Arial"/>
                <w:sz w:val="24"/>
                <w:szCs w:val="24"/>
                <w:lang w:val="en-GB" w:eastAsia="en-GB"/>
              </w:rPr>
            </w:pPr>
          </w:p>
          <w:p w14:paraId="6583FBF0"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EU Postal Worker Directive Reform.</w:t>
            </w:r>
          </w:p>
          <w:p w14:paraId="136501FA" w14:textId="77777777" w:rsidR="00261C23" w:rsidRDefault="00261C23" w:rsidP="00393103">
            <w:pPr>
              <w:rPr>
                <w:rFonts w:ascii="Arial" w:hAnsi="Arial" w:cs="Arial"/>
                <w:sz w:val="24"/>
                <w:szCs w:val="24"/>
                <w:lang w:val="en-GB" w:eastAsia="en-GB"/>
              </w:rPr>
            </w:pPr>
          </w:p>
          <w:p w14:paraId="25099ADB" w14:textId="77777777" w:rsidR="00261C23" w:rsidRDefault="00261C23" w:rsidP="00393103">
            <w:pPr>
              <w:rPr>
                <w:rFonts w:ascii="Arial" w:hAnsi="Arial" w:cs="Arial"/>
                <w:sz w:val="24"/>
                <w:szCs w:val="24"/>
                <w:lang w:val="en-GB" w:eastAsia="en-GB"/>
              </w:rPr>
            </w:pPr>
            <w:r>
              <w:rPr>
                <w:rFonts w:ascii="Arial" w:hAnsi="Arial" w:cs="Arial"/>
                <w:sz w:val="24"/>
                <w:szCs w:val="24"/>
                <w:lang w:val="en-GB" w:eastAsia="en-GB"/>
              </w:rPr>
              <w:t xml:space="preserve">Impact of Brexit, if it occurs. </w:t>
            </w:r>
          </w:p>
          <w:p w14:paraId="7C867E86" w14:textId="77777777" w:rsidR="00261C23" w:rsidRDefault="00261C23" w:rsidP="00393103">
            <w:pPr>
              <w:rPr>
                <w:rFonts w:ascii="Arial" w:hAnsi="Arial" w:cs="Arial"/>
                <w:sz w:val="24"/>
                <w:szCs w:val="24"/>
                <w:lang w:val="en-GB" w:eastAsia="en-GB"/>
              </w:rPr>
            </w:pPr>
          </w:p>
          <w:p w14:paraId="4EB0D902" w14:textId="77777777" w:rsidR="00261C23" w:rsidRDefault="00261C23" w:rsidP="00393103">
            <w:pPr>
              <w:rPr>
                <w:rFonts w:ascii="Arial" w:hAnsi="Arial" w:cs="Arial"/>
                <w:sz w:val="24"/>
                <w:szCs w:val="24"/>
                <w:lang w:val="en-GB" w:eastAsia="en-GB"/>
              </w:rPr>
            </w:pPr>
          </w:p>
          <w:p w14:paraId="71820527" w14:textId="77777777" w:rsidR="00261C23" w:rsidRDefault="00261C23" w:rsidP="00393103">
            <w:pPr>
              <w:rPr>
                <w:rFonts w:ascii="Arial" w:hAnsi="Arial" w:cs="Arial"/>
                <w:sz w:val="24"/>
                <w:szCs w:val="24"/>
                <w:lang w:val="en-GB" w:eastAsia="en-GB"/>
              </w:rPr>
            </w:pPr>
          </w:p>
          <w:p w14:paraId="240CAACC" w14:textId="77777777" w:rsidR="00261C23" w:rsidRDefault="00261C23" w:rsidP="00393103">
            <w:pPr>
              <w:rPr>
                <w:rFonts w:ascii="Arial" w:hAnsi="Arial" w:cs="Arial"/>
                <w:sz w:val="24"/>
                <w:szCs w:val="24"/>
                <w:lang w:val="en-GB" w:eastAsia="en-GB"/>
              </w:rPr>
            </w:pPr>
          </w:p>
          <w:p w14:paraId="150110E1" w14:textId="77777777" w:rsidR="00261C23" w:rsidRDefault="00261C23" w:rsidP="00393103">
            <w:pPr>
              <w:rPr>
                <w:rFonts w:ascii="Arial" w:hAnsi="Arial" w:cs="Arial"/>
                <w:sz w:val="24"/>
                <w:szCs w:val="24"/>
                <w:lang w:val="en-GB" w:eastAsia="en-GB"/>
              </w:rPr>
            </w:pPr>
          </w:p>
          <w:p w14:paraId="64F14720" w14:textId="77777777" w:rsidR="00261C23" w:rsidRDefault="00261C23" w:rsidP="00393103">
            <w:pPr>
              <w:rPr>
                <w:rFonts w:ascii="Arial" w:hAnsi="Arial" w:cs="Arial"/>
                <w:sz w:val="24"/>
                <w:szCs w:val="24"/>
                <w:lang w:val="en-GB" w:eastAsia="en-GB"/>
              </w:rPr>
            </w:pPr>
          </w:p>
          <w:p w14:paraId="17428A18" w14:textId="77777777" w:rsidR="00261C23" w:rsidRDefault="00261C23" w:rsidP="00393103">
            <w:pPr>
              <w:rPr>
                <w:rFonts w:ascii="Arial" w:hAnsi="Arial" w:cs="Arial"/>
                <w:sz w:val="24"/>
                <w:szCs w:val="24"/>
                <w:lang w:val="en-GB" w:eastAsia="en-GB"/>
              </w:rPr>
            </w:pPr>
          </w:p>
          <w:p w14:paraId="6EB86AAC" w14:textId="77777777" w:rsidR="00261C23" w:rsidRDefault="00261C23" w:rsidP="00393103">
            <w:pPr>
              <w:rPr>
                <w:rFonts w:ascii="Arial" w:hAnsi="Arial" w:cs="Arial"/>
                <w:sz w:val="24"/>
                <w:szCs w:val="24"/>
                <w:lang w:val="en-GB" w:eastAsia="en-GB"/>
              </w:rPr>
            </w:pPr>
          </w:p>
          <w:p w14:paraId="33E12BEA" w14:textId="77777777" w:rsidR="00261C23" w:rsidRPr="00854047" w:rsidRDefault="00261C23" w:rsidP="00393103">
            <w:pPr>
              <w:rPr>
                <w:rFonts w:ascii="Arial" w:hAnsi="Arial" w:cs="Arial"/>
                <w:sz w:val="24"/>
                <w:szCs w:val="24"/>
                <w:lang w:val="en-GB" w:eastAsia="en-GB"/>
              </w:rPr>
            </w:pPr>
          </w:p>
        </w:tc>
      </w:tr>
      <w:tr w:rsidR="00261C23" w:rsidRPr="00854047" w14:paraId="688461B9" w14:textId="77777777" w:rsidTr="00393103">
        <w:trPr>
          <w:cantSplit/>
        </w:trPr>
        <w:tc>
          <w:tcPr>
            <w:tcW w:w="0" w:type="auto"/>
          </w:tcPr>
          <w:p w14:paraId="261498EB"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6</w:t>
            </w:r>
          </w:p>
        </w:tc>
        <w:tc>
          <w:tcPr>
            <w:tcW w:w="1777" w:type="dxa"/>
          </w:tcPr>
          <w:p w14:paraId="7F3B4310"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 xml:space="preserve">Development of secondary market </w:t>
            </w:r>
          </w:p>
        </w:tc>
        <w:tc>
          <w:tcPr>
            <w:tcW w:w="3539" w:type="dxa"/>
          </w:tcPr>
          <w:p w14:paraId="1F88B8E5"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This may undermine performance incentives where contract is conveyed to new purchaser investing little equity stake in contract.</w:t>
            </w:r>
          </w:p>
          <w:p w14:paraId="5B29FB3D" w14:textId="77777777" w:rsidR="00261C23" w:rsidRPr="00854047" w:rsidRDefault="00261C23" w:rsidP="00393103">
            <w:pPr>
              <w:rPr>
                <w:rFonts w:ascii="Arial" w:hAnsi="Arial" w:cs="Arial"/>
                <w:sz w:val="24"/>
                <w:szCs w:val="24"/>
                <w:lang w:val="en-GB" w:eastAsia="en-GB"/>
              </w:rPr>
            </w:pPr>
          </w:p>
          <w:p w14:paraId="74982906"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Frequent sales of contracts for short-term financial gain can prove inimical to partnership working and continuity of service. </w:t>
            </w:r>
          </w:p>
        </w:tc>
        <w:tc>
          <w:tcPr>
            <w:tcW w:w="3622" w:type="dxa"/>
          </w:tcPr>
          <w:p w14:paraId="0C6AD188" w14:textId="77777777" w:rsidR="00261C23"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Robust secondary market increases market confidence and assists market benchmarking of price and services. </w:t>
            </w:r>
          </w:p>
          <w:p w14:paraId="78F4F5BE" w14:textId="77777777" w:rsidR="00261C23" w:rsidRPr="00854047" w:rsidRDefault="00261C23" w:rsidP="00393103">
            <w:pPr>
              <w:rPr>
                <w:rFonts w:ascii="Arial" w:hAnsi="Arial" w:cs="Arial"/>
                <w:sz w:val="24"/>
                <w:szCs w:val="24"/>
                <w:lang w:val="en-GB" w:eastAsia="en-GB"/>
              </w:rPr>
            </w:pPr>
            <w:r>
              <w:rPr>
                <w:rFonts w:ascii="Arial" w:hAnsi="Arial" w:cs="Arial"/>
                <w:sz w:val="24"/>
                <w:szCs w:val="24"/>
                <w:lang w:val="en-GB" w:eastAsia="en-GB"/>
              </w:rPr>
              <w:t xml:space="preserve"> </w:t>
            </w:r>
          </w:p>
        </w:tc>
      </w:tr>
      <w:tr w:rsidR="00261C23" w:rsidRPr="00854047" w14:paraId="5C1E2CB5" w14:textId="77777777" w:rsidTr="00393103">
        <w:trPr>
          <w:cantSplit/>
        </w:trPr>
        <w:tc>
          <w:tcPr>
            <w:tcW w:w="0" w:type="auto"/>
          </w:tcPr>
          <w:p w14:paraId="39A5DF08"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lastRenderedPageBreak/>
              <w:t>7</w:t>
            </w:r>
          </w:p>
        </w:tc>
        <w:tc>
          <w:tcPr>
            <w:tcW w:w="1777" w:type="dxa"/>
          </w:tcPr>
          <w:p w14:paraId="2B6A142B" w14:textId="77777777" w:rsidR="00261C23" w:rsidRPr="00854047" w:rsidRDefault="00261C23" w:rsidP="00393103">
            <w:pPr>
              <w:rPr>
                <w:rFonts w:ascii="Arial" w:hAnsi="Arial" w:cs="Arial"/>
                <w:b/>
                <w:sz w:val="24"/>
                <w:szCs w:val="24"/>
                <w:lang w:val="en-GB" w:eastAsia="en-GB"/>
              </w:rPr>
            </w:pPr>
            <w:r w:rsidRPr="00854047">
              <w:rPr>
                <w:rFonts w:ascii="Arial" w:hAnsi="Arial" w:cs="Arial"/>
                <w:b/>
                <w:sz w:val="24"/>
                <w:szCs w:val="24"/>
                <w:lang w:val="en-GB" w:eastAsia="en-GB"/>
              </w:rPr>
              <w:t xml:space="preserve">Long lead in times and lack of competition </w:t>
            </w:r>
          </w:p>
        </w:tc>
        <w:tc>
          <w:tcPr>
            <w:tcW w:w="3539" w:type="dxa"/>
          </w:tcPr>
          <w:p w14:paraId="1F947C6E"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NAO notes continuing insufficient public sector capacity to procure complex PPP/PFI schemes and to negotiate/monitor effectively with commercially</w:t>
            </w:r>
            <w:r>
              <w:rPr>
                <w:rFonts w:ascii="Arial" w:hAnsi="Arial" w:cs="Arial"/>
                <w:sz w:val="24"/>
                <w:szCs w:val="24"/>
                <w:lang w:val="en-GB" w:eastAsia="en-GB"/>
              </w:rPr>
              <w:t xml:space="preserve"> oriented</w:t>
            </w:r>
            <w:r w:rsidRPr="00854047">
              <w:rPr>
                <w:rFonts w:ascii="Arial" w:hAnsi="Arial" w:cs="Arial"/>
                <w:sz w:val="24"/>
                <w:szCs w:val="24"/>
                <w:lang w:val="en-GB" w:eastAsia="en-GB"/>
              </w:rPr>
              <w:t xml:space="preserve"> private sector partners.</w:t>
            </w:r>
          </w:p>
          <w:p w14:paraId="1E765464" w14:textId="77777777" w:rsidR="00261C23" w:rsidRPr="00854047" w:rsidRDefault="00261C23" w:rsidP="00393103">
            <w:pPr>
              <w:rPr>
                <w:rFonts w:ascii="Arial" w:hAnsi="Arial" w:cs="Arial"/>
                <w:sz w:val="24"/>
                <w:szCs w:val="24"/>
                <w:lang w:val="en-GB" w:eastAsia="en-GB"/>
              </w:rPr>
            </w:pPr>
          </w:p>
          <w:p w14:paraId="3C903E4B"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This has resulted in delays (</w:t>
            </w:r>
            <w:r>
              <w:rPr>
                <w:rFonts w:ascii="Arial" w:hAnsi="Arial" w:cs="Arial"/>
                <w:sz w:val="24"/>
                <w:szCs w:val="24"/>
                <w:lang w:val="en-GB" w:eastAsia="en-GB"/>
              </w:rPr>
              <w:t xml:space="preserve">many </w:t>
            </w:r>
            <w:r w:rsidRPr="00854047">
              <w:rPr>
                <w:rFonts w:ascii="Arial" w:hAnsi="Arial" w:cs="Arial"/>
                <w:sz w:val="24"/>
                <w:szCs w:val="24"/>
                <w:lang w:val="en-GB" w:eastAsia="en-GB"/>
              </w:rPr>
              <w:t>PFI project</w:t>
            </w:r>
            <w:r>
              <w:rPr>
                <w:rFonts w:ascii="Arial" w:hAnsi="Arial" w:cs="Arial"/>
                <w:sz w:val="24"/>
                <w:szCs w:val="24"/>
                <w:lang w:val="en-GB" w:eastAsia="en-GB"/>
              </w:rPr>
              <w:t>s</w:t>
            </w:r>
            <w:r w:rsidRPr="00854047">
              <w:rPr>
                <w:rFonts w:ascii="Arial" w:hAnsi="Arial" w:cs="Arial"/>
                <w:sz w:val="24"/>
                <w:szCs w:val="24"/>
                <w:lang w:val="en-GB" w:eastAsia="en-GB"/>
              </w:rPr>
              <w:t xml:space="preserve"> t</w:t>
            </w:r>
            <w:r>
              <w:rPr>
                <w:rFonts w:ascii="Arial" w:hAnsi="Arial" w:cs="Arial"/>
                <w:sz w:val="24"/>
                <w:szCs w:val="24"/>
                <w:lang w:val="en-GB" w:eastAsia="en-GB"/>
              </w:rPr>
              <w:t>ook</w:t>
            </w:r>
            <w:r w:rsidRPr="00854047">
              <w:rPr>
                <w:rFonts w:ascii="Arial" w:hAnsi="Arial" w:cs="Arial"/>
                <w:sz w:val="24"/>
                <w:szCs w:val="24"/>
                <w:lang w:val="en-GB" w:eastAsia="en-GB"/>
              </w:rPr>
              <w:t xml:space="preserve"> longer than three years to procure) linked to misspecification or inadequate preparation of contractual requirements, lack of private sector confidence in the process resulting in reluctance to enter and remain in the market </w:t>
            </w:r>
          </w:p>
        </w:tc>
        <w:tc>
          <w:tcPr>
            <w:tcW w:w="3622" w:type="dxa"/>
          </w:tcPr>
          <w:p w14:paraId="04B2A568" w14:textId="77777777" w:rsidR="00261C23" w:rsidRPr="00854047" w:rsidRDefault="00261C23" w:rsidP="00393103">
            <w:pPr>
              <w:rPr>
                <w:rFonts w:ascii="Arial" w:hAnsi="Arial" w:cs="Arial"/>
                <w:sz w:val="24"/>
                <w:szCs w:val="24"/>
                <w:lang w:val="en-GB" w:eastAsia="en-GB"/>
              </w:rPr>
            </w:pPr>
          </w:p>
          <w:p w14:paraId="5480384F"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Greater use of standardised documentation.</w:t>
            </w:r>
          </w:p>
          <w:p w14:paraId="55FD0B03" w14:textId="77777777" w:rsidR="00261C23" w:rsidRPr="00854047" w:rsidRDefault="00261C23" w:rsidP="00393103">
            <w:pPr>
              <w:rPr>
                <w:rFonts w:ascii="Arial" w:hAnsi="Arial" w:cs="Arial"/>
                <w:sz w:val="24"/>
                <w:szCs w:val="24"/>
                <w:lang w:val="en-GB" w:eastAsia="en-GB"/>
              </w:rPr>
            </w:pPr>
          </w:p>
          <w:p w14:paraId="679C4389"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Pooling of knowledge and know-how between public and private sectors and project teams.  </w:t>
            </w:r>
          </w:p>
          <w:p w14:paraId="70D7C99D" w14:textId="77777777" w:rsidR="00261C23" w:rsidRPr="00854047" w:rsidRDefault="00261C23" w:rsidP="00393103">
            <w:pPr>
              <w:rPr>
                <w:rFonts w:ascii="Arial" w:hAnsi="Arial" w:cs="Arial"/>
                <w:sz w:val="24"/>
                <w:szCs w:val="24"/>
                <w:lang w:val="en-GB" w:eastAsia="en-GB"/>
              </w:rPr>
            </w:pPr>
          </w:p>
          <w:p w14:paraId="215E8CFD"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Other reasons</w:t>
            </w:r>
            <w:r>
              <w:rPr>
                <w:rFonts w:ascii="Arial" w:hAnsi="Arial" w:cs="Arial"/>
                <w:sz w:val="24"/>
                <w:szCs w:val="24"/>
                <w:lang w:val="en-GB" w:eastAsia="en-GB"/>
              </w:rPr>
              <w:t xml:space="preserve"> such as</w:t>
            </w:r>
            <w:r w:rsidRPr="00854047">
              <w:rPr>
                <w:rFonts w:ascii="Arial" w:hAnsi="Arial" w:cs="Arial"/>
                <w:sz w:val="24"/>
                <w:szCs w:val="24"/>
                <w:lang w:val="en-GB" w:eastAsia="en-GB"/>
              </w:rPr>
              <w:t xml:space="preserve"> market abuse/collusion by private sector</w:t>
            </w:r>
            <w:r>
              <w:rPr>
                <w:rFonts w:ascii="Arial" w:hAnsi="Arial" w:cs="Arial"/>
                <w:sz w:val="24"/>
                <w:szCs w:val="24"/>
                <w:lang w:val="en-GB" w:eastAsia="en-GB"/>
              </w:rPr>
              <w:t xml:space="preserve"> could have contributed to PFI delays</w:t>
            </w:r>
            <w:r w:rsidRPr="00854047">
              <w:rPr>
                <w:rFonts w:ascii="Arial" w:hAnsi="Arial" w:cs="Arial"/>
                <w:sz w:val="24"/>
                <w:szCs w:val="24"/>
                <w:lang w:val="en-GB" w:eastAsia="en-GB"/>
              </w:rPr>
              <w:t xml:space="preserve">. </w:t>
            </w:r>
          </w:p>
          <w:p w14:paraId="4353909D" w14:textId="77777777" w:rsidR="00261C23" w:rsidRPr="00854047" w:rsidRDefault="00261C23" w:rsidP="00393103">
            <w:pPr>
              <w:rPr>
                <w:rFonts w:ascii="Arial" w:hAnsi="Arial" w:cs="Arial"/>
                <w:sz w:val="24"/>
                <w:szCs w:val="24"/>
                <w:lang w:val="en-GB" w:eastAsia="en-GB"/>
              </w:rPr>
            </w:pPr>
          </w:p>
          <w:p w14:paraId="77DFB48B" w14:textId="77777777" w:rsidR="00261C23" w:rsidRPr="00854047" w:rsidRDefault="00261C23" w:rsidP="00393103">
            <w:pPr>
              <w:rPr>
                <w:rFonts w:ascii="Arial" w:hAnsi="Arial" w:cs="Arial"/>
                <w:sz w:val="24"/>
                <w:szCs w:val="24"/>
                <w:lang w:val="en-GB" w:eastAsia="en-GB"/>
              </w:rPr>
            </w:pPr>
            <w:r w:rsidRPr="00854047">
              <w:rPr>
                <w:rFonts w:ascii="Arial" w:hAnsi="Arial" w:cs="Arial"/>
                <w:sz w:val="24"/>
                <w:szCs w:val="24"/>
                <w:lang w:val="en-GB" w:eastAsia="en-GB"/>
              </w:rPr>
              <w:t xml:space="preserve"> </w:t>
            </w:r>
          </w:p>
        </w:tc>
      </w:tr>
    </w:tbl>
    <w:p w14:paraId="0CA61178" w14:textId="77777777" w:rsidR="00261C23" w:rsidRDefault="00261C23" w:rsidP="00261C23">
      <w:pPr>
        <w:spacing w:after="0" w:line="240" w:lineRule="auto"/>
        <w:rPr>
          <w:rFonts w:ascii="Arial" w:eastAsia="Times New Roman" w:hAnsi="Arial" w:cs="Arial"/>
          <w:sz w:val="24"/>
          <w:szCs w:val="24"/>
          <w:lang w:val="en-GB" w:eastAsia="en-GB"/>
        </w:rPr>
      </w:pPr>
      <w:bookmarkStart w:id="0" w:name="_GoBack"/>
      <w:bookmarkEnd w:id="0"/>
    </w:p>
    <w:sectPr w:rsidR="0026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23"/>
    <w:rsid w:val="0026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68C8"/>
  <w15:chartTrackingRefBased/>
  <w15:docId w15:val="{BE152B5C-5EE2-41B4-A440-CC4F94B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C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Newton</dc:creator>
  <cp:keywords/>
  <dc:description/>
  <cp:lastModifiedBy>John Newton</cp:lastModifiedBy>
  <cp:revision>1</cp:revision>
  <dcterms:created xsi:type="dcterms:W3CDTF">2019-06-13T16:49:00Z</dcterms:created>
  <dcterms:modified xsi:type="dcterms:W3CDTF">2019-06-13T16:50:00Z</dcterms:modified>
</cp:coreProperties>
</file>