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1AC2" w14:textId="77777777" w:rsidR="00035036" w:rsidRDefault="00035036"/>
    <w:p w14:paraId="234CEFA5" w14:textId="77777777" w:rsidR="00035036" w:rsidRDefault="00035036"/>
    <w:p w14:paraId="01D60D61" w14:textId="007F894A" w:rsidR="00F0192A" w:rsidRDefault="00F0192A" w:rsidP="00133F46">
      <w:pPr>
        <w:pStyle w:val="Heading1"/>
        <w:spacing w:before="0" w:after="240" w:line="540" w:lineRule="atLeast"/>
      </w:pPr>
    </w:p>
    <w:p w14:paraId="5CE61C7D" w14:textId="77777777" w:rsidR="008B403A" w:rsidRDefault="008B403A" w:rsidP="00133F46">
      <w:pPr>
        <w:spacing w:after="390" w:line="240" w:lineRule="auto"/>
        <w:rPr>
          <w:rFonts w:ascii="Arial" w:eastAsiaTheme="majorEastAsia" w:hAnsi="Arial" w:cs="Arial"/>
          <w:b/>
          <w:bCs/>
          <w:color w:val="000000"/>
          <w:sz w:val="27"/>
          <w:szCs w:val="27"/>
          <w:bdr w:val="none" w:sz="0" w:space="0" w:color="auto" w:frame="1"/>
        </w:rPr>
      </w:pPr>
    </w:p>
    <w:p w14:paraId="5CE30779" w14:textId="77777777" w:rsidR="008B403A" w:rsidRDefault="008B403A" w:rsidP="00133F46">
      <w:pPr>
        <w:spacing w:after="390" w:line="240" w:lineRule="auto"/>
        <w:rPr>
          <w:rFonts w:ascii="Arial" w:eastAsiaTheme="majorEastAsia" w:hAnsi="Arial" w:cs="Arial"/>
          <w:b/>
          <w:bCs/>
          <w:color w:val="000000"/>
          <w:sz w:val="27"/>
          <w:szCs w:val="27"/>
          <w:bdr w:val="none" w:sz="0" w:space="0" w:color="auto" w:frame="1"/>
        </w:rPr>
      </w:pPr>
    </w:p>
    <w:p w14:paraId="53B2566B" w14:textId="77777777" w:rsidR="008B403A" w:rsidRDefault="008B403A" w:rsidP="00133F46">
      <w:pPr>
        <w:spacing w:after="390" w:line="240" w:lineRule="auto"/>
        <w:rPr>
          <w:rFonts w:ascii="Arial" w:eastAsiaTheme="majorEastAsia" w:hAnsi="Arial" w:cs="Arial"/>
          <w:b/>
          <w:bCs/>
          <w:color w:val="000000"/>
          <w:sz w:val="27"/>
          <w:szCs w:val="27"/>
          <w:bdr w:val="none" w:sz="0" w:space="0" w:color="auto" w:frame="1"/>
        </w:rPr>
      </w:pPr>
    </w:p>
    <w:p w14:paraId="1C35CABD" w14:textId="3AD87904" w:rsidR="008B403A" w:rsidRDefault="008B403A" w:rsidP="008B403A">
      <w:pPr>
        <w:spacing w:after="390" w:line="240" w:lineRule="auto"/>
        <w:jc w:val="center"/>
        <w:rPr>
          <w:rFonts w:ascii="Arial" w:eastAsiaTheme="majorEastAsia" w:hAnsi="Arial" w:cs="Arial"/>
          <w:b/>
          <w:bCs/>
          <w:color w:val="000000"/>
          <w:sz w:val="36"/>
          <w:szCs w:val="36"/>
          <w:bdr w:val="none" w:sz="0" w:space="0" w:color="auto" w:frame="1"/>
        </w:rPr>
      </w:pPr>
      <w:r w:rsidRPr="008B403A">
        <w:rPr>
          <w:rFonts w:ascii="Arial" w:eastAsiaTheme="majorEastAsia" w:hAnsi="Arial" w:cs="Arial"/>
          <w:b/>
          <w:bCs/>
          <w:color w:val="000000"/>
          <w:sz w:val="36"/>
          <w:szCs w:val="36"/>
          <w:bdr w:val="none" w:sz="0" w:space="0" w:color="auto" w:frame="1"/>
        </w:rPr>
        <w:t>MAKING PUBLIC INVESTMENT SMART</w:t>
      </w:r>
    </w:p>
    <w:p w14:paraId="1DA76D8A" w14:textId="03ACEA33" w:rsidR="00B24A29" w:rsidRDefault="00B24A29" w:rsidP="008B403A">
      <w:pPr>
        <w:spacing w:after="390" w:line="240" w:lineRule="auto"/>
        <w:jc w:val="center"/>
        <w:rPr>
          <w:rFonts w:ascii="Arial" w:eastAsiaTheme="majorEastAsia" w:hAnsi="Arial" w:cs="Arial"/>
          <w:b/>
          <w:bCs/>
          <w:color w:val="000000"/>
          <w:sz w:val="36"/>
          <w:szCs w:val="36"/>
          <w:bdr w:val="none" w:sz="0" w:space="0" w:color="auto" w:frame="1"/>
        </w:rPr>
      </w:pPr>
    </w:p>
    <w:p w14:paraId="1BA15E5A" w14:textId="3776900C" w:rsidR="007420A5" w:rsidRDefault="007420A5" w:rsidP="008B403A">
      <w:pPr>
        <w:spacing w:after="390" w:line="240" w:lineRule="auto"/>
        <w:jc w:val="center"/>
        <w:rPr>
          <w:rFonts w:ascii="Arial" w:eastAsiaTheme="majorEastAsia" w:hAnsi="Arial" w:cs="Arial"/>
          <w:b/>
          <w:bCs/>
          <w:color w:val="000000"/>
          <w:sz w:val="36"/>
          <w:szCs w:val="36"/>
          <w:bdr w:val="none" w:sz="0" w:space="0" w:color="auto" w:frame="1"/>
        </w:rPr>
      </w:pPr>
      <w:r>
        <w:rPr>
          <w:rFonts w:ascii="Arial" w:eastAsiaTheme="majorEastAsia" w:hAnsi="Arial" w:cs="Arial"/>
          <w:b/>
          <w:bCs/>
          <w:color w:val="000000"/>
          <w:sz w:val="36"/>
          <w:szCs w:val="36"/>
          <w:bdr w:val="none" w:sz="0" w:space="0" w:color="auto" w:frame="1"/>
        </w:rPr>
        <w:t>Response to HM Treasury and IPA</w:t>
      </w:r>
    </w:p>
    <w:p w14:paraId="5A80EC02" w14:textId="03465F6F" w:rsidR="00A36E74" w:rsidRDefault="00A36E74" w:rsidP="008B403A">
      <w:pPr>
        <w:spacing w:after="390" w:line="240" w:lineRule="auto"/>
        <w:jc w:val="center"/>
        <w:rPr>
          <w:rFonts w:ascii="Arial" w:eastAsiaTheme="majorEastAsia" w:hAnsi="Arial" w:cs="Arial"/>
          <w:b/>
          <w:bCs/>
          <w:color w:val="000000"/>
          <w:sz w:val="36"/>
          <w:szCs w:val="36"/>
          <w:bdr w:val="none" w:sz="0" w:space="0" w:color="auto" w:frame="1"/>
        </w:rPr>
      </w:pPr>
      <w:r>
        <w:rPr>
          <w:rFonts w:ascii="Arial" w:eastAsiaTheme="majorEastAsia" w:hAnsi="Arial" w:cs="Arial"/>
          <w:b/>
          <w:bCs/>
          <w:color w:val="000000"/>
          <w:sz w:val="36"/>
          <w:szCs w:val="36"/>
          <w:bdr w:val="none" w:sz="0" w:space="0" w:color="auto" w:frame="1"/>
        </w:rPr>
        <w:t>Infrastructure Finance Review, March 2019</w:t>
      </w:r>
      <w:r w:rsidR="00291466">
        <w:rPr>
          <w:rFonts w:ascii="Arial" w:eastAsiaTheme="majorEastAsia" w:hAnsi="Arial" w:cs="Arial"/>
          <w:b/>
          <w:bCs/>
          <w:color w:val="000000"/>
          <w:sz w:val="36"/>
          <w:szCs w:val="36"/>
          <w:bdr w:val="none" w:sz="0" w:space="0" w:color="auto" w:frame="1"/>
        </w:rPr>
        <w:t>.</w:t>
      </w:r>
    </w:p>
    <w:p w14:paraId="23714A6C" w14:textId="77777777" w:rsidR="008B403A" w:rsidRDefault="008B403A" w:rsidP="008B403A">
      <w:pPr>
        <w:spacing w:after="390" w:line="240" w:lineRule="auto"/>
        <w:jc w:val="center"/>
        <w:rPr>
          <w:rFonts w:ascii="Arial" w:eastAsiaTheme="majorEastAsia" w:hAnsi="Arial" w:cs="Arial"/>
          <w:b/>
          <w:bCs/>
          <w:color w:val="000000"/>
          <w:sz w:val="36"/>
          <w:szCs w:val="36"/>
          <w:bdr w:val="none" w:sz="0" w:space="0" w:color="auto" w:frame="1"/>
        </w:rPr>
      </w:pPr>
    </w:p>
    <w:p w14:paraId="24914196" w14:textId="383D3ABA" w:rsidR="001B057B" w:rsidRPr="008B403A" w:rsidRDefault="008B403A" w:rsidP="008B403A">
      <w:pPr>
        <w:spacing w:after="390" w:line="240" w:lineRule="auto"/>
        <w:jc w:val="center"/>
        <w:rPr>
          <w:rFonts w:ascii="Arial" w:eastAsiaTheme="majorEastAsia" w:hAnsi="Arial" w:cs="Arial"/>
          <w:b/>
          <w:bCs/>
          <w:color w:val="000000"/>
          <w:sz w:val="36"/>
          <w:szCs w:val="36"/>
          <w:bdr w:val="none" w:sz="0" w:space="0" w:color="auto" w:frame="1"/>
        </w:rPr>
      </w:pPr>
      <w:r>
        <w:rPr>
          <w:rFonts w:ascii="Arial" w:eastAsiaTheme="majorEastAsia" w:hAnsi="Arial" w:cs="Arial"/>
          <w:b/>
          <w:bCs/>
          <w:color w:val="000000"/>
          <w:sz w:val="36"/>
          <w:szCs w:val="36"/>
          <w:bdr w:val="none" w:sz="0" w:space="0" w:color="auto" w:frame="1"/>
        </w:rPr>
        <w:t>A Social Democratic Future</w:t>
      </w:r>
      <w:r w:rsidRPr="008B403A">
        <w:rPr>
          <w:rFonts w:ascii="Arial" w:eastAsiaTheme="majorEastAsia" w:hAnsi="Arial" w:cs="Arial"/>
          <w:b/>
          <w:bCs/>
          <w:color w:val="000000"/>
          <w:sz w:val="36"/>
          <w:szCs w:val="36"/>
          <w:bdr w:val="none" w:sz="0" w:space="0" w:color="auto" w:frame="1"/>
        </w:rPr>
        <w:t>.</w:t>
      </w:r>
    </w:p>
    <w:p w14:paraId="3B760B74" w14:textId="3AA22E64" w:rsidR="0005158B" w:rsidRDefault="0005158B" w:rsidP="00133F46">
      <w:pPr>
        <w:spacing w:after="390" w:line="240" w:lineRule="auto"/>
        <w:rPr>
          <w:rFonts w:ascii="Arial" w:eastAsia="Times New Roman" w:hAnsi="Arial" w:cs="Times New Roman"/>
          <w:color w:val="666666"/>
          <w:sz w:val="24"/>
          <w:szCs w:val="24"/>
        </w:rPr>
      </w:pPr>
    </w:p>
    <w:p w14:paraId="7ADA9694" w14:textId="3B2DE079" w:rsidR="00291466" w:rsidRDefault="00291466">
      <w:pPr>
        <w:rPr>
          <w:rFonts w:ascii="Arial" w:eastAsia="Times New Roman" w:hAnsi="Arial" w:cs="Times New Roman"/>
          <w:color w:val="666666"/>
          <w:sz w:val="24"/>
          <w:szCs w:val="24"/>
        </w:rPr>
      </w:pPr>
      <w:r>
        <w:rPr>
          <w:rFonts w:ascii="Arial" w:eastAsia="Times New Roman" w:hAnsi="Arial" w:cs="Times New Roman"/>
          <w:color w:val="666666"/>
          <w:sz w:val="24"/>
          <w:szCs w:val="24"/>
        </w:rPr>
        <w:br w:type="page"/>
      </w:r>
    </w:p>
    <w:p w14:paraId="6A094A56" w14:textId="0175B0EB" w:rsidR="0005158B" w:rsidRDefault="0005158B" w:rsidP="00133F46">
      <w:pPr>
        <w:spacing w:after="390" w:line="240" w:lineRule="auto"/>
        <w:rPr>
          <w:rFonts w:ascii="Arial" w:eastAsia="Times New Roman" w:hAnsi="Arial" w:cs="Times New Roman"/>
          <w:color w:val="666666"/>
          <w:sz w:val="24"/>
          <w:szCs w:val="24"/>
        </w:rPr>
      </w:pPr>
    </w:p>
    <w:p w14:paraId="1B10DB86" w14:textId="70C26757" w:rsidR="00291466" w:rsidRDefault="00291466" w:rsidP="00133F46">
      <w:pPr>
        <w:spacing w:after="390" w:line="240" w:lineRule="auto"/>
        <w:rPr>
          <w:rFonts w:ascii="Arial" w:eastAsia="Times New Roman" w:hAnsi="Arial" w:cs="Times New Roman"/>
          <w:color w:val="666666"/>
          <w:sz w:val="24"/>
          <w:szCs w:val="24"/>
        </w:rPr>
      </w:pPr>
    </w:p>
    <w:p w14:paraId="6D035AC5" w14:textId="34BE17DA" w:rsidR="00291466" w:rsidRDefault="00291466" w:rsidP="00133F46">
      <w:pPr>
        <w:spacing w:after="390" w:line="240" w:lineRule="auto"/>
        <w:rPr>
          <w:rFonts w:ascii="Arial" w:eastAsia="Times New Roman" w:hAnsi="Arial" w:cs="Times New Roman"/>
          <w:color w:val="666666"/>
          <w:sz w:val="24"/>
          <w:szCs w:val="24"/>
        </w:rPr>
      </w:pPr>
    </w:p>
    <w:p w14:paraId="7BA5C967" w14:textId="2A5EE469" w:rsidR="00291466" w:rsidRDefault="00291466" w:rsidP="00133F46">
      <w:pPr>
        <w:spacing w:after="390" w:line="240" w:lineRule="auto"/>
        <w:rPr>
          <w:rFonts w:ascii="Arial" w:eastAsia="Times New Roman" w:hAnsi="Arial" w:cs="Times New Roman"/>
          <w:color w:val="666666"/>
          <w:sz w:val="24"/>
          <w:szCs w:val="24"/>
        </w:rPr>
      </w:pPr>
      <w:r w:rsidRPr="007129B6">
        <w:rPr>
          <w:rFonts w:ascii="Arial" w:eastAsia="Times New Roman" w:hAnsi="Arial" w:cs="Times New Roman"/>
          <w:i/>
          <w:iCs/>
          <w:color w:val="666666"/>
          <w:sz w:val="32"/>
          <w:szCs w:val="32"/>
        </w:rPr>
        <w:t>A Social Democratic Future</w:t>
      </w:r>
      <w:r w:rsidRPr="00365E7C">
        <w:rPr>
          <w:rFonts w:ascii="Arial" w:eastAsia="Times New Roman" w:hAnsi="Arial" w:cs="Times New Roman"/>
          <w:color w:val="666666"/>
          <w:sz w:val="32"/>
          <w:szCs w:val="32"/>
        </w:rPr>
        <w:t xml:space="preserve"> was established in 2009 as a politically non-affiliated </w:t>
      </w:r>
      <w:r w:rsidR="00365E7C" w:rsidRPr="00365E7C">
        <w:rPr>
          <w:rFonts w:ascii="Arial" w:eastAsia="Times New Roman" w:hAnsi="Arial" w:cs="Times New Roman"/>
          <w:color w:val="666666"/>
          <w:sz w:val="32"/>
          <w:szCs w:val="32"/>
        </w:rPr>
        <w:t>independent organization dedicated to the identification of feasible and effective policy pathways to economic efficiency and equality</w:t>
      </w:r>
      <w:r w:rsidR="00365E7C">
        <w:rPr>
          <w:rFonts w:ascii="Arial" w:eastAsia="Times New Roman" w:hAnsi="Arial" w:cs="Times New Roman"/>
          <w:color w:val="666666"/>
          <w:sz w:val="24"/>
          <w:szCs w:val="24"/>
        </w:rPr>
        <w:t>.</w:t>
      </w:r>
    </w:p>
    <w:p w14:paraId="445FCD97" w14:textId="6C90422D" w:rsidR="00365E7C" w:rsidRDefault="00365E7C" w:rsidP="00133F46">
      <w:pPr>
        <w:spacing w:after="390" w:line="240" w:lineRule="auto"/>
        <w:rPr>
          <w:rFonts w:ascii="Arial" w:eastAsia="Times New Roman" w:hAnsi="Arial" w:cs="Times New Roman"/>
          <w:color w:val="666666"/>
          <w:sz w:val="24"/>
          <w:szCs w:val="24"/>
        </w:rPr>
      </w:pPr>
    </w:p>
    <w:p w14:paraId="7547976E" w14:textId="74DDB492" w:rsidR="007129B6" w:rsidRDefault="007129B6" w:rsidP="00133F46">
      <w:pPr>
        <w:spacing w:after="390" w:line="240" w:lineRule="auto"/>
        <w:rPr>
          <w:rFonts w:ascii="Arial" w:eastAsia="Times New Roman" w:hAnsi="Arial" w:cs="Times New Roman"/>
          <w:color w:val="666666"/>
          <w:sz w:val="24"/>
          <w:szCs w:val="24"/>
        </w:rPr>
      </w:pPr>
      <w:r>
        <w:rPr>
          <w:rFonts w:ascii="Arial" w:eastAsia="Times New Roman" w:hAnsi="Arial" w:cs="Times New Roman"/>
          <w:color w:val="666666"/>
          <w:sz w:val="24"/>
          <w:szCs w:val="24"/>
        </w:rPr>
        <w:t xml:space="preserve">Website:   </w:t>
      </w:r>
      <w:hyperlink r:id="rId8" w:history="1">
        <w:r w:rsidRPr="007129B6">
          <w:rPr>
            <w:rStyle w:val="Hyperlink"/>
            <w:rFonts w:ascii="Arial" w:eastAsia="Times New Roman" w:hAnsi="Arial" w:cs="Times New Roman"/>
            <w:sz w:val="24"/>
            <w:szCs w:val="24"/>
          </w:rPr>
          <w:t>https://www.asocialdemocraticfuture.org</w:t>
        </w:r>
      </w:hyperlink>
    </w:p>
    <w:p w14:paraId="786541CB" w14:textId="037A7432" w:rsidR="007D1C43" w:rsidRDefault="007D1C43" w:rsidP="00133F46">
      <w:pPr>
        <w:spacing w:after="390" w:line="240" w:lineRule="auto"/>
        <w:rPr>
          <w:rFonts w:ascii="Arial" w:eastAsia="Times New Roman" w:hAnsi="Arial" w:cs="Times New Roman"/>
          <w:color w:val="666666"/>
          <w:sz w:val="24"/>
          <w:szCs w:val="24"/>
        </w:rPr>
      </w:pPr>
      <w:r>
        <w:rPr>
          <w:rFonts w:ascii="Arial" w:eastAsia="Times New Roman" w:hAnsi="Arial" w:cs="Times New Roman"/>
          <w:color w:val="666666"/>
          <w:sz w:val="24"/>
          <w:szCs w:val="24"/>
        </w:rPr>
        <w:t xml:space="preserve">Contact:    </w:t>
      </w:r>
      <w:hyperlink r:id="rId9" w:history="1">
        <w:r w:rsidRPr="00A55819">
          <w:rPr>
            <w:rStyle w:val="Hyperlink"/>
            <w:rFonts w:ascii="Arial" w:eastAsia="Times New Roman" w:hAnsi="Arial" w:cs="Times New Roman"/>
            <w:sz w:val="24"/>
            <w:szCs w:val="24"/>
          </w:rPr>
          <w:t>asocialdemocraticfuture@outlook.com</w:t>
        </w:r>
      </w:hyperlink>
    </w:p>
    <w:p w14:paraId="50BC5B19" w14:textId="626BF5AD" w:rsidR="007D1C43" w:rsidRDefault="00ED66B4" w:rsidP="00133F46">
      <w:pPr>
        <w:spacing w:after="390" w:line="240" w:lineRule="auto"/>
        <w:rPr>
          <w:rFonts w:ascii="Arial" w:eastAsia="Times New Roman" w:hAnsi="Arial" w:cs="Times New Roman"/>
          <w:color w:val="666666"/>
          <w:sz w:val="24"/>
          <w:szCs w:val="24"/>
        </w:rPr>
      </w:pPr>
      <w:r>
        <w:rPr>
          <w:rFonts w:ascii="Arial" w:eastAsia="Times New Roman" w:hAnsi="Arial" w:cs="Times New Roman"/>
          <w:color w:val="666666"/>
          <w:sz w:val="24"/>
          <w:szCs w:val="24"/>
        </w:rPr>
        <w:t xml:space="preserve">This </w:t>
      </w:r>
      <w:r w:rsidR="00876AB2">
        <w:rPr>
          <w:rFonts w:ascii="Arial" w:eastAsia="Times New Roman" w:hAnsi="Arial" w:cs="Times New Roman"/>
          <w:color w:val="666666"/>
          <w:sz w:val="24"/>
          <w:szCs w:val="24"/>
        </w:rPr>
        <w:t xml:space="preserve">version </w:t>
      </w:r>
      <w:r w:rsidR="00D23871">
        <w:rPr>
          <w:rFonts w:ascii="Arial" w:eastAsia="Times New Roman" w:hAnsi="Arial" w:cs="Times New Roman"/>
          <w:color w:val="666666"/>
          <w:sz w:val="24"/>
          <w:szCs w:val="24"/>
        </w:rPr>
        <w:t>(8</w:t>
      </w:r>
      <w:r w:rsidR="00D23871" w:rsidRPr="00D23871">
        <w:rPr>
          <w:rFonts w:ascii="Arial" w:eastAsia="Times New Roman" w:hAnsi="Arial" w:cs="Times New Roman"/>
          <w:color w:val="666666"/>
          <w:sz w:val="24"/>
          <w:szCs w:val="24"/>
          <w:vertAlign w:val="superscript"/>
        </w:rPr>
        <w:t>th</w:t>
      </w:r>
      <w:r w:rsidR="00D23871">
        <w:rPr>
          <w:rFonts w:ascii="Arial" w:eastAsia="Times New Roman" w:hAnsi="Arial" w:cs="Times New Roman"/>
          <w:color w:val="666666"/>
          <w:sz w:val="24"/>
          <w:szCs w:val="24"/>
        </w:rPr>
        <w:t xml:space="preserve"> June) </w:t>
      </w:r>
      <w:r w:rsidR="00876AB2">
        <w:rPr>
          <w:rFonts w:ascii="Arial" w:eastAsia="Times New Roman" w:hAnsi="Arial" w:cs="Times New Roman"/>
          <w:color w:val="666666"/>
          <w:sz w:val="24"/>
          <w:szCs w:val="24"/>
        </w:rPr>
        <w:t>updates the submission submitted to the HM Treasury on the 5</w:t>
      </w:r>
      <w:r w:rsidR="00876AB2" w:rsidRPr="00876AB2">
        <w:rPr>
          <w:rFonts w:ascii="Arial" w:eastAsia="Times New Roman" w:hAnsi="Arial" w:cs="Times New Roman"/>
          <w:color w:val="666666"/>
          <w:sz w:val="24"/>
          <w:szCs w:val="24"/>
          <w:vertAlign w:val="superscript"/>
        </w:rPr>
        <w:t>th</w:t>
      </w:r>
      <w:r w:rsidR="00876AB2">
        <w:rPr>
          <w:rFonts w:ascii="Arial" w:eastAsia="Times New Roman" w:hAnsi="Arial" w:cs="Times New Roman"/>
          <w:color w:val="666666"/>
          <w:sz w:val="24"/>
          <w:szCs w:val="24"/>
        </w:rPr>
        <w:t xml:space="preserve"> June, </w:t>
      </w:r>
      <w:r w:rsidR="007A55B2">
        <w:rPr>
          <w:rFonts w:ascii="Arial" w:eastAsia="Times New Roman" w:hAnsi="Arial" w:cs="Times New Roman"/>
          <w:color w:val="666666"/>
          <w:sz w:val="24"/>
          <w:szCs w:val="24"/>
        </w:rPr>
        <w:t>by maki</w:t>
      </w:r>
      <w:r w:rsidR="000D7FC9">
        <w:rPr>
          <w:rFonts w:ascii="Arial" w:eastAsia="Times New Roman" w:hAnsi="Arial" w:cs="Times New Roman"/>
          <w:color w:val="666666"/>
          <w:sz w:val="24"/>
          <w:szCs w:val="24"/>
        </w:rPr>
        <w:t xml:space="preserve">ng a limited number of </w:t>
      </w:r>
      <w:r w:rsidR="00A90AED">
        <w:rPr>
          <w:rFonts w:ascii="Arial" w:eastAsia="Times New Roman" w:hAnsi="Arial" w:cs="Times New Roman"/>
          <w:color w:val="666666"/>
          <w:sz w:val="24"/>
          <w:szCs w:val="24"/>
        </w:rPr>
        <w:t>amendments to improve clarity</w:t>
      </w:r>
      <w:r w:rsidR="00675321">
        <w:rPr>
          <w:rFonts w:ascii="Arial" w:eastAsia="Times New Roman" w:hAnsi="Arial" w:cs="Times New Roman"/>
          <w:color w:val="666666"/>
          <w:sz w:val="24"/>
          <w:szCs w:val="24"/>
        </w:rPr>
        <w:t xml:space="preserve"> and </w:t>
      </w:r>
      <w:r w:rsidR="0068269D">
        <w:rPr>
          <w:rFonts w:ascii="Arial" w:eastAsia="Times New Roman" w:hAnsi="Arial" w:cs="Times New Roman"/>
          <w:color w:val="666666"/>
          <w:sz w:val="24"/>
          <w:szCs w:val="24"/>
        </w:rPr>
        <w:t xml:space="preserve">to </w:t>
      </w:r>
      <w:r w:rsidR="007E0FC6">
        <w:rPr>
          <w:rFonts w:ascii="Arial" w:eastAsia="Times New Roman" w:hAnsi="Arial" w:cs="Times New Roman"/>
          <w:color w:val="666666"/>
          <w:sz w:val="24"/>
          <w:szCs w:val="24"/>
        </w:rPr>
        <w:t>insert</w:t>
      </w:r>
      <w:r w:rsidR="0068269D">
        <w:rPr>
          <w:rFonts w:ascii="Arial" w:eastAsia="Times New Roman" w:hAnsi="Arial" w:cs="Times New Roman"/>
          <w:color w:val="666666"/>
          <w:sz w:val="24"/>
          <w:szCs w:val="24"/>
        </w:rPr>
        <w:t xml:space="preserve"> </w:t>
      </w:r>
      <w:r w:rsidR="00675321">
        <w:rPr>
          <w:rFonts w:ascii="Arial" w:eastAsia="Times New Roman" w:hAnsi="Arial" w:cs="Times New Roman"/>
          <w:color w:val="666666"/>
          <w:sz w:val="24"/>
          <w:szCs w:val="24"/>
        </w:rPr>
        <w:t>links to relevant documents</w:t>
      </w:r>
      <w:r w:rsidR="0011225E">
        <w:rPr>
          <w:rFonts w:ascii="Arial" w:eastAsia="Times New Roman" w:hAnsi="Arial" w:cs="Times New Roman"/>
          <w:color w:val="666666"/>
          <w:sz w:val="24"/>
          <w:szCs w:val="24"/>
        </w:rPr>
        <w:t xml:space="preserve">. </w:t>
      </w:r>
    </w:p>
    <w:p w14:paraId="7FF494FA" w14:textId="77777777" w:rsidR="00B04CF6" w:rsidRDefault="00B04CF6" w:rsidP="003768F6">
      <w:pPr>
        <w:rPr>
          <w:rFonts w:ascii="Arial" w:eastAsia="Times New Roman" w:hAnsi="Arial" w:cs="Times New Roman"/>
          <w:color w:val="666666"/>
          <w:sz w:val="24"/>
          <w:szCs w:val="24"/>
        </w:rPr>
      </w:pPr>
    </w:p>
    <w:p w14:paraId="6D33F41E" w14:textId="77777777" w:rsidR="00B04CF6" w:rsidRPr="00B04CF6" w:rsidRDefault="00B04CF6" w:rsidP="00B04CF6">
      <w:pPr>
        <w:rPr>
          <w:rFonts w:ascii="Arial" w:eastAsia="Times New Roman" w:hAnsi="Arial" w:cs="Times New Roman"/>
          <w:sz w:val="24"/>
          <w:szCs w:val="24"/>
        </w:rPr>
      </w:pPr>
    </w:p>
    <w:p w14:paraId="292F87ED" w14:textId="77777777" w:rsidR="00B04CF6" w:rsidRPr="00B04CF6" w:rsidRDefault="00B04CF6" w:rsidP="00B04CF6">
      <w:pPr>
        <w:rPr>
          <w:rFonts w:ascii="Arial" w:eastAsia="Times New Roman" w:hAnsi="Arial" w:cs="Times New Roman"/>
          <w:sz w:val="24"/>
          <w:szCs w:val="24"/>
        </w:rPr>
      </w:pPr>
    </w:p>
    <w:p w14:paraId="4F981057" w14:textId="77777777" w:rsidR="00B04CF6" w:rsidRPr="00B04CF6" w:rsidRDefault="00B04CF6" w:rsidP="00B04CF6">
      <w:pPr>
        <w:rPr>
          <w:rFonts w:ascii="Arial" w:eastAsia="Times New Roman" w:hAnsi="Arial" w:cs="Times New Roman"/>
          <w:sz w:val="24"/>
          <w:szCs w:val="24"/>
        </w:rPr>
      </w:pPr>
    </w:p>
    <w:p w14:paraId="00A2091A" w14:textId="77777777" w:rsidR="00B04CF6" w:rsidRPr="00B04CF6" w:rsidRDefault="00B04CF6" w:rsidP="00B04CF6">
      <w:pPr>
        <w:rPr>
          <w:rFonts w:ascii="Arial" w:eastAsia="Times New Roman" w:hAnsi="Arial" w:cs="Times New Roman"/>
          <w:sz w:val="24"/>
          <w:szCs w:val="24"/>
        </w:rPr>
      </w:pPr>
    </w:p>
    <w:p w14:paraId="3F2C66D2" w14:textId="77777777" w:rsidR="00B04CF6" w:rsidRPr="00B04CF6" w:rsidRDefault="00B04CF6" w:rsidP="00B04CF6">
      <w:pPr>
        <w:rPr>
          <w:rFonts w:ascii="Arial" w:eastAsia="Times New Roman" w:hAnsi="Arial" w:cs="Times New Roman"/>
          <w:sz w:val="24"/>
          <w:szCs w:val="24"/>
        </w:rPr>
      </w:pPr>
    </w:p>
    <w:p w14:paraId="07A75901" w14:textId="77777777" w:rsidR="00B04CF6" w:rsidRDefault="00B04CF6" w:rsidP="003768F6">
      <w:pPr>
        <w:rPr>
          <w:rFonts w:ascii="Arial" w:eastAsia="Times New Roman" w:hAnsi="Arial" w:cs="Times New Roman"/>
          <w:color w:val="666666"/>
          <w:sz w:val="24"/>
          <w:szCs w:val="24"/>
        </w:rPr>
      </w:pPr>
    </w:p>
    <w:p w14:paraId="4B8132CA" w14:textId="77777777" w:rsidR="00B04CF6" w:rsidRDefault="00B04CF6" w:rsidP="003768F6">
      <w:pPr>
        <w:rPr>
          <w:rFonts w:ascii="Arial" w:eastAsia="Times New Roman" w:hAnsi="Arial" w:cs="Times New Roman"/>
          <w:color w:val="666666"/>
          <w:sz w:val="24"/>
          <w:szCs w:val="24"/>
        </w:rPr>
      </w:pPr>
    </w:p>
    <w:p w14:paraId="05A164FD" w14:textId="3A0E23D3" w:rsidR="0005158B" w:rsidRDefault="0005158B" w:rsidP="003768F6">
      <w:pPr>
        <w:rPr>
          <w:rFonts w:ascii="Arial" w:eastAsia="Times New Roman" w:hAnsi="Arial" w:cs="Times New Roman"/>
          <w:color w:val="666666"/>
          <w:sz w:val="24"/>
          <w:szCs w:val="24"/>
        </w:rPr>
      </w:pPr>
      <w:r w:rsidRPr="00B04CF6">
        <w:rPr>
          <w:rFonts w:ascii="Arial" w:eastAsia="Times New Roman" w:hAnsi="Arial" w:cs="Times New Roman"/>
          <w:sz w:val="24"/>
          <w:szCs w:val="24"/>
        </w:rPr>
        <w:br w:type="page"/>
      </w:r>
      <w:r w:rsidR="003768F6" w:rsidRPr="00AF0F41">
        <w:rPr>
          <w:rFonts w:ascii="Arial" w:eastAsia="Times New Roman" w:hAnsi="Arial" w:cs="Times New Roman"/>
          <w:b/>
          <w:bCs/>
          <w:color w:val="000000"/>
          <w:kern w:val="36"/>
          <w:sz w:val="24"/>
          <w:szCs w:val="54"/>
        </w:rPr>
        <w:lastRenderedPageBreak/>
        <w:t>S</w:t>
      </w:r>
      <w:r w:rsidRPr="0011417D">
        <w:rPr>
          <w:rFonts w:ascii="Arial" w:eastAsia="Times New Roman" w:hAnsi="Arial" w:cs="Times New Roman"/>
          <w:b/>
          <w:bCs/>
          <w:color w:val="000000"/>
          <w:kern w:val="36"/>
          <w:sz w:val="24"/>
          <w:szCs w:val="54"/>
        </w:rPr>
        <w:t>u</w:t>
      </w:r>
      <w:r w:rsidRPr="003859C0">
        <w:rPr>
          <w:rFonts w:ascii="Arial" w:eastAsia="Times New Roman" w:hAnsi="Arial" w:cs="Times New Roman"/>
          <w:b/>
          <w:bCs/>
          <w:color w:val="000000"/>
          <w:kern w:val="36"/>
          <w:sz w:val="24"/>
          <w:szCs w:val="54"/>
        </w:rPr>
        <w:t>mmary</w:t>
      </w:r>
    </w:p>
    <w:p w14:paraId="2EB1807F" w14:textId="2837E557" w:rsidR="00133F46" w:rsidRPr="006A7A69" w:rsidRDefault="08DD1E8B" w:rsidP="4DF4157F">
      <w:pPr>
        <w:spacing w:after="390" w:line="240" w:lineRule="auto"/>
        <w:rPr>
          <w:rFonts w:ascii="Arial" w:hAnsi="Arial"/>
          <w:sz w:val="24"/>
          <w:szCs w:val="24"/>
        </w:rPr>
      </w:pPr>
      <w:r w:rsidRPr="006A7A69">
        <w:rPr>
          <w:rFonts w:ascii="Arial" w:hAnsi="Arial"/>
          <w:sz w:val="24"/>
          <w:szCs w:val="24"/>
        </w:rPr>
        <w:t xml:space="preserve">The level and quality of public infrastructural investment directly influences future macro-economic performance. It </w:t>
      </w:r>
      <w:r w:rsidR="00B8780A" w:rsidRPr="006A7A69">
        <w:rPr>
          <w:rFonts w:ascii="Arial" w:hAnsi="Arial"/>
          <w:sz w:val="24"/>
          <w:szCs w:val="24"/>
        </w:rPr>
        <w:t xml:space="preserve">must </w:t>
      </w:r>
      <w:r w:rsidR="00DC6C73" w:rsidRPr="006A7A69">
        <w:rPr>
          <w:rFonts w:ascii="Arial" w:hAnsi="Arial"/>
          <w:sz w:val="24"/>
          <w:szCs w:val="24"/>
        </w:rPr>
        <w:t>meet</w:t>
      </w:r>
      <w:r w:rsidR="008B403A" w:rsidRPr="006A7A69">
        <w:rPr>
          <w:rFonts w:ascii="Arial" w:hAnsi="Arial"/>
          <w:sz w:val="24"/>
          <w:szCs w:val="24"/>
        </w:rPr>
        <w:t xml:space="preserve"> macro-economic and social requirements </w:t>
      </w:r>
      <w:r w:rsidR="00975318" w:rsidRPr="006A7A69">
        <w:rPr>
          <w:rFonts w:ascii="Arial" w:hAnsi="Arial"/>
          <w:sz w:val="24"/>
          <w:szCs w:val="24"/>
        </w:rPr>
        <w:t xml:space="preserve">and </w:t>
      </w:r>
      <w:r w:rsidR="00DB08E9" w:rsidRPr="006A7A69">
        <w:rPr>
          <w:rFonts w:ascii="Arial" w:hAnsi="Arial"/>
          <w:sz w:val="24"/>
          <w:szCs w:val="24"/>
        </w:rPr>
        <w:t xml:space="preserve">be </w:t>
      </w:r>
      <w:r w:rsidRPr="006A7A69">
        <w:rPr>
          <w:rFonts w:ascii="Arial" w:hAnsi="Arial"/>
          <w:sz w:val="24"/>
          <w:szCs w:val="24"/>
        </w:rPr>
        <w:t xml:space="preserve">efficient in selection and execution. </w:t>
      </w:r>
    </w:p>
    <w:p w14:paraId="3C9E174E" w14:textId="6E7ADF80" w:rsidR="00E266C1" w:rsidRPr="006A7A69" w:rsidRDefault="00222283" w:rsidP="00306984">
      <w:pPr>
        <w:spacing w:after="390" w:line="240" w:lineRule="auto"/>
        <w:rPr>
          <w:rFonts w:ascii="Arial" w:hAnsi="Arial"/>
          <w:sz w:val="24"/>
          <w:szCs w:val="24"/>
        </w:rPr>
      </w:pPr>
      <w:r w:rsidRPr="006A7A69">
        <w:rPr>
          <w:rFonts w:ascii="Arial" w:hAnsi="Arial"/>
          <w:sz w:val="24"/>
          <w:szCs w:val="24"/>
        </w:rPr>
        <w:t xml:space="preserve">The UK investment record </w:t>
      </w:r>
      <w:r w:rsidR="009E109A" w:rsidRPr="006A7A69">
        <w:rPr>
          <w:rFonts w:ascii="Arial" w:hAnsi="Arial"/>
          <w:sz w:val="24"/>
          <w:szCs w:val="24"/>
        </w:rPr>
        <w:t>falls short</w:t>
      </w:r>
      <w:r w:rsidRPr="006A7A69">
        <w:rPr>
          <w:rFonts w:ascii="Arial" w:hAnsi="Arial"/>
          <w:sz w:val="24"/>
          <w:szCs w:val="24"/>
        </w:rPr>
        <w:t xml:space="preserve"> across both</w:t>
      </w:r>
      <w:r w:rsidR="00AF0F41">
        <w:rPr>
          <w:rFonts w:ascii="Arial" w:hAnsi="Arial"/>
          <w:sz w:val="24"/>
          <w:szCs w:val="24"/>
        </w:rPr>
        <w:t xml:space="preserve"> inter-linked</w:t>
      </w:r>
      <w:r w:rsidRPr="006A7A69">
        <w:rPr>
          <w:rFonts w:ascii="Arial" w:hAnsi="Arial"/>
          <w:sz w:val="24"/>
          <w:szCs w:val="24"/>
        </w:rPr>
        <w:t xml:space="preserve"> counts. </w:t>
      </w:r>
      <w:r w:rsidR="00450DB0" w:rsidRPr="006A7A69">
        <w:rPr>
          <w:rFonts w:ascii="Arial" w:hAnsi="Arial"/>
          <w:sz w:val="24"/>
          <w:szCs w:val="24"/>
        </w:rPr>
        <w:t>F</w:t>
      </w:r>
      <w:r w:rsidR="000F1B01" w:rsidRPr="006A7A69">
        <w:rPr>
          <w:rFonts w:ascii="Arial" w:hAnsi="Arial"/>
          <w:sz w:val="24"/>
          <w:szCs w:val="24"/>
        </w:rPr>
        <w:t xml:space="preserve">or </w:t>
      </w:r>
      <w:r w:rsidR="00306984" w:rsidRPr="006A7A69">
        <w:rPr>
          <w:rFonts w:ascii="Arial" w:hAnsi="Arial"/>
          <w:sz w:val="24"/>
          <w:szCs w:val="24"/>
        </w:rPr>
        <w:t xml:space="preserve">many decades </w:t>
      </w:r>
      <w:r w:rsidR="00450DB0" w:rsidRPr="006A7A69">
        <w:rPr>
          <w:rFonts w:ascii="Arial" w:hAnsi="Arial"/>
          <w:sz w:val="24"/>
          <w:szCs w:val="24"/>
        </w:rPr>
        <w:t xml:space="preserve">there has been </w:t>
      </w:r>
      <w:r w:rsidR="000F1B01" w:rsidRPr="006A7A69">
        <w:rPr>
          <w:rFonts w:ascii="Arial" w:hAnsi="Arial"/>
          <w:sz w:val="24"/>
          <w:szCs w:val="24"/>
        </w:rPr>
        <w:t>u</w:t>
      </w:r>
      <w:r w:rsidR="00306984" w:rsidRPr="006A7A69">
        <w:rPr>
          <w:rFonts w:ascii="Arial" w:hAnsi="Arial"/>
          <w:sz w:val="24"/>
          <w:szCs w:val="24"/>
        </w:rPr>
        <w:t>nder-invest</w:t>
      </w:r>
      <w:r w:rsidR="000F1B01" w:rsidRPr="006A7A69">
        <w:rPr>
          <w:rFonts w:ascii="Arial" w:hAnsi="Arial"/>
          <w:sz w:val="24"/>
          <w:szCs w:val="24"/>
        </w:rPr>
        <w:t>ment</w:t>
      </w:r>
      <w:r w:rsidR="00306984" w:rsidRPr="006A7A69">
        <w:rPr>
          <w:rFonts w:ascii="Arial" w:hAnsi="Arial"/>
          <w:sz w:val="24"/>
          <w:szCs w:val="24"/>
        </w:rPr>
        <w:t xml:space="preserve"> in productive infrastructure assets</w:t>
      </w:r>
      <w:r w:rsidR="00C000F6">
        <w:rPr>
          <w:rFonts w:ascii="Arial" w:hAnsi="Arial"/>
          <w:sz w:val="24"/>
          <w:szCs w:val="24"/>
        </w:rPr>
        <w:t>.</w:t>
      </w:r>
    </w:p>
    <w:p w14:paraId="28C6C424" w14:textId="1B391098" w:rsidR="001C0C08" w:rsidRPr="006A7A69" w:rsidRDefault="00E2554C" w:rsidP="00306984">
      <w:pPr>
        <w:spacing w:after="390" w:line="240" w:lineRule="auto"/>
        <w:rPr>
          <w:rFonts w:ascii="Arial" w:hAnsi="Arial"/>
          <w:sz w:val="24"/>
          <w:szCs w:val="24"/>
        </w:rPr>
      </w:pPr>
      <w:r>
        <w:rPr>
          <w:rFonts w:ascii="Arial" w:hAnsi="Arial"/>
          <w:sz w:val="24"/>
          <w:szCs w:val="24"/>
        </w:rPr>
        <w:t>T</w:t>
      </w:r>
      <w:r w:rsidR="000F1B01" w:rsidRPr="006A7A69">
        <w:rPr>
          <w:rFonts w:ascii="Arial" w:hAnsi="Arial"/>
          <w:sz w:val="24"/>
          <w:szCs w:val="24"/>
        </w:rPr>
        <w:t xml:space="preserve">he wrong projects </w:t>
      </w:r>
      <w:r w:rsidR="00450DB0" w:rsidRPr="006A7A69">
        <w:rPr>
          <w:rFonts w:ascii="Arial" w:hAnsi="Arial"/>
          <w:sz w:val="24"/>
          <w:szCs w:val="24"/>
        </w:rPr>
        <w:t xml:space="preserve">have </w:t>
      </w:r>
      <w:r w:rsidR="004862D3" w:rsidRPr="006A7A69">
        <w:rPr>
          <w:rFonts w:ascii="Arial" w:hAnsi="Arial"/>
          <w:sz w:val="24"/>
          <w:szCs w:val="24"/>
        </w:rPr>
        <w:t xml:space="preserve">often </w:t>
      </w:r>
      <w:r w:rsidR="00450DB0" w:rsidRPr="006A7A69">
        <w:rPr>
          <w:rFonts w:ascii="Arial" w:hAnsi="Arial"/>
          <w:sz w:val="24"/>
          <w:szCs w:val="24"/>
        </w:rPr>
        <w:t>be</w:t>
      </w:r>
      <w:r w:rsidR="004862D3" w:rsidRPr="006A7A69">
        <w:rPr>
          <w:rFonts w:ascii="Arial" w:hAnsi="Arial"/>
          <w:sz w:val="24"/>
          <w:szCs w:val="24"/>
        </w:rPr>
        <w:t>en</w:t>
      </w:r>
      <w:r w:rsidR="00450DB0" w:rsidRPr="006A7A69">
        <w:rPr>
          <w:rFonts w:ascii="Arial" w:hAnsi="Arial"/>
          <w:sz w:val="24"/>
          <w:szCs w:val="24"/>
        </w:rPr>
        <w:t xml:space="preserve"> selected</w:t>
      </w:r>
      <w:r w:rsidR="004862D3" w:rsidRPr="006A7A69">
        <w:rPr>
          <w:rFonts w:ascii="Arial" w:hAnsi="Arial"/>
          <w:sz w:val="24"/>
          <w:szCs w:val="24"/>
        </w:rPr>
        <w:t>,</w:t>
      </w:r>
      <w:r w:rsidR="00450DB0" w:rsidRPr="006A7A69">
        <w:rPr>
          <w:rFonts w:ascii="Arial" w:hAnsi="Arial"/>
          <w:sz w:val="24"/>
          <w:szCs w:val="24"/>
        </w:rPr>
        <w:t xml:space="preserve"> leading to wasteful expenditures</w:t>
      </w:r>
      <w:r w:rsidR="00215845">
        <w:rPr>
          <w:rFonts w:ascii="Arial" w:hAnsi="Arial"/>
          <w:sz w:val="24"/>
          <w:szCs w:val="24"/>
        </w:rPr>
        <w:t>,</w:t>
      </w:r>
      <w:r w:rsidR="00450DB0" w:rsidRPr="006A7A69">
        <w:rPr>
          <w:rFonts w:ascii="Arial" w:hAnsi="Arial"/>
          <w:sz w:val="24"/>
          <w:szCs w:val="24"/>
        </w:rPr>
        <w:t xml:space="preserve"> attached with high opportunity costs</w:t>
      </w:r>
      <w:r w:rsidR="00EA65CC">
        <w:rPr>
          <w:rFonts w:ascii="Arial" w:hAnsi="Arial"/>
          <w:sz w:val="24"/>
          <w:szCs w:val="24"/>
        </w:rPr>
        <w:t xml:space="preserve">, on one hand, </w:t>
      </w:r>
      <w:r w:rsidR="006724D6">
        <w:rPr>
          <w:rFonts w:ascii="Arial" w:hAnsi="Arial"/>
          <w:sz w:val="24"/>
          <w:szCs w:val="24"/>
        </w:rPr>
        <w:t>stopping potentially more productive project seeing the light of day</w:t>
      </w:r>
      <w:r w:rsidR="00BE742A">
        <w:rPr>
          <w:rFonts w:ascii="Arial" w:hAnsi="Arial"/>
          <w:sz w:val="24"/>
          <w:szCs w:val="24"/>
        </w:rPr>
        <w:t>, on the other</w:t>
      </w:r>
      <w:r w:rsidR="001C0C08" w:rsidRPr="006A7A69">
        <w:rPr>
          <w:rFonts w:ascii="Arial" w:hAnsi="Arial"/>
          <w:sz w:val="24"/>
          <w:szCs w:val="24"/>
        </w:rPr>
        <w:t xml:space="preserve">. </w:t>
      </w:r>
    </w:p>
    <w:p w14:paraId="0FFE190D" w14:textId="5DA06BCF" w:rsidR="002A1054" w:rsidRPr="006A7A69" w:rsidRDefault="009E109A" w:rsidP="00306984">
      <w:pPr>
        <w:spacing w:after="390" w:line="240" w:lineRule="auto"/>
        <w:rPr>
          <w:rFonts w:ascii="Arial" w:hAnsi="Arial"/>
          <w:sz w:val="24"/>
          <w:szCs w:val="24"/>
        </w:rPr>
      </w:pPr>
      <w:r w:rsidRPr="006A7A69">
        <w:rPr>
          <w:rFonts w:ascii="Arial" w:hAnsi="Arial"/>
          <w:sz w:val="24"/>
          <w:szCs w:val="24"/>
        </w:rPr>
        <w:t>And, in addition, a</w:t>
      </w:r>
      <w:r w:rsidR="001C0C08" w:rsidRPr="006A7A69">
        <w:rPr>
          <w:rFonts w:ascii="Arial" w:hAnsi="Arial"/>
          <w:sz w:val="24"/>
          <w:szCs w:val="24"/>
        </w:rPr>
        <w:t>rr</w:t>
      </w:r>
      <w:r w:rsidR="00EF4FE9" w:rsidRPr="006A7A69">
        <w:rPr>
          <w:rFonts w:ascii="Arial" w:hAnsi="Arial"/>
          <w:sz w:val="24"/>
          <w:szCs w:val="24"/>
        </w:rPr>
        <w:t xml:space="preserve">angements that combine </w:t>
      </w:r>
      <w:r w:rsidR="00AF1D74" w:rsidRPr="006A7A69">
        <w:rPr>
          <w:rFonts w:ascii="Arial" w:hAnsi="Arial"/>
          <w:sz w:val="24"/>
          <w:szCs w:val="24"/>
        </w:rPr>
        <w:t xml:space="preserve">private and public financing </w:t>
      </w:r>
      <w:r w:rsidR="00EF4FE9" w:rsidRPr="006A7A69">
        <w:rPr>
          <w:rFonts w:ascii="Arial" w:hAnsi="Arial"/>
          <w:sz w:val="24"/>
          <w:szCs w:val="24"/>
        </w:rPr>
        <w:t>in the most efficient way</w:t>
      </w:r>
      <w:r w:rsidR="002755EF">
        <w:rPr>
          <w:rFonts w:ascii="Arial" w:hAnsi="Arial"/>
          <w:sz w:val="24"/>
          <w:szCs w:val="24"/>
        </w:rPr>
        <w:t xml:space="preserve"> </w:t>
      </w:r>
      <w:r w:rsidR="005633BE">
        <w:rPr>
          <w:rFonts w:ascii="Arial" w:hAnsi="Arial"/>
          <w:sz w:val="24"/>
          <w:szCs w:val="24"/>
        </w:rPr>
        <w:t>have</w:t>
      </w:r>
      <w:r w:rsidR="002755EF">
        <w:rPr>
          <w:rFonts w:ascii="Arial" w:hAnsi="Arial"/>
          <w:sz w:val="24"/>
          <w:szCs w:val="24"/>
        </w:rPr>
        <w:t xml:space="preserve"> failed to</w:t>
      </w:r>
      <w:r w:rsidR="005633BE">
        <w:rPr>
          <w:rFonts w:ascii="Arial" w:hAnsi="Arial"/>
          <w:sz w:val="24"/>
          <w:szCs w:val="24"/>
        </w:rPr>
        <w:t xml:space="preserve"> </w:t>
      </w:r>
      <w:r w:rsidR="002755EF">
        <w:rPr>
          <w:rFonts w:ascii="Arial" w:hAnsi="Arial"/>
          <w:sz w:val="24"/>
          <w:szCs w:val="24"/>
        </w:rPr>
        <w:t>develop</w:t>
      </w:r>
      <w:r w:rsidR="00A815F2">
        <w:rPr>
          <w:rFonts w:ascii="Arial" w:hAnsi="Arial"/>
          <w:sz w:val="24"/>
          <w:szCs w:val="24"/>
        </w:rPr>
        <w:t xml:space="preserve">, contributing to </w:t>
      </w:r>
      <w:r w:rsidR="001E02E1">
        <w:rPr>
          <w:rFonts w:ascii="Arial" w:hAnsi="Arial"/>
          <w:sz w:val="24"/>
          <w:szCs w:val="24"/>
        </w:rPr>
        <w:t>under-investment and inefficient selection and delivery outcomes</w:t>
      </w:r>
      <w:r w:rsidR="003A29E1">
        <w:rPr>
          <w:rFonts w:ascii="Arial" w:hAnsi="Arial"/>
          <w:sz w:val="24"/>
          <w:szCs w:val="24"/>
        </w:rPr>
        <w:t>.</w:t>
      </w:r>
      <w:r w:rsidR="002755EF">
        <w:rPr>
          <w:rFonts w:ascii="Arial" w:hAnsi="Arial"/>
          <w:sz w:val="24"/>
          <w:szCs w:val="24"/>
        </w:rPr>
        <w:t xml:space="preserve"> </w:t>
      </w:r>
    </w:p>
    <w:p w14:paraId="7432F30B" w14:textId="15BA046C" w:rsidR="00A47570" w:rsidRPr="006A7A69" w:rsidRDefault="00BF1470" w:rsidP="00306984">
      <w:pPr>
        <w:spacing w:after="390" w:line="240" w:lineRule="auto"/>
        <w:rPr>
          <w:rFonts w:ascii="Arial" w:hAnsi="Arial"/>
          <w:sz w:val="24"/>
          <w:szCs w:val="24"/>
        </w:rPr>
      </w:pPr>
      <w:r>
        <w:rPr>
          <w:rFonts w:ascii="Arial" w:hAnsi="Arial"/>
          <w:sz w:val="24"/>
          <w:szCs w:val="24"/>
        </w:rPr>
        <w:t>T</w:t>
      </w:r>
      <w:r w:rsidR="00FF54CB" w:rsidRPr="006A7A69">
        <w:rPr>
          <w:rFonts w:ascii="Arial" w:hAnsi="Arial"/>
          <w:sz w:val="24"/>
          <w:szCs w:val="24"/>
        </w:rPr>
        <w:t xml:space="preserve">he </w:t>
      </w:r>
      <w:r>
        <w:rPr>
          <w:rFonts w:ascii="Arial" w:hAnsi="Arial"/>
          <w:sz w:val="24"/>
          <w:szCs w:val="24"/>
        </w:rPr>
        <w:t xml:space="preserve">curtailment of the </w:t>
      </w:r>
      <w:r w:rsidR="00FF54CB" w:rsidRPr="006A7A69">
        <w:rPr>
          <w:rFonts w:ascii="Arial" w:hAnsi="Arial"/>
          <w:sz w:val="24"/>
          <w:szCs w:val="24"/>
        </w:rPr>
        <w:t>Private Finance Initiative</w:t>
      </w:r>
      <w:r w:rsidR="002A1054" w:rsidRPr="006A7A69">
        <w:rPr>
          <w:rFonts w:ascii="Arial" w:hAnsi="Arial"/>
          <w:sz w:val="24"/>
          <w:szCs w:val="24"/>
        </w:rPr>
        <w:t xml:space="preserve"> (PFI) </w:t>
      </w:r>
      <w:r w:rsidR="00ED1310" w:rsidRPr="006A7A69">
        <w:rPr>
          <w:rFonts w:ascii="Arial" w:hAnsi="Arial"/>
          <w:sz w:val="24"/>
          <w:szCs w:val="24"/>
        </w:rPr>
        <w:t>in the Budget 2018</w:t>
      </w:r>
      <w:r w:rsidR="00452E6F">
        <w:rPr>
          <w:rFonts w:ascii="Arial" w:hAnsi="Arial"/>
          <w:sz w:val="24"/>
          <w:szCs w:val="24"/>
        </w:rPr>
        <w:t>,</w:t>
      </w:r>
      <w:r w:rsidR="00ED1310" w:rsidRPr="006A7A69">
        <w:rPr>
          <w:rFonts w:ascii="Arial" w:hAnsi="Arial"/>
          <w:sz w:val="24"/>
          <w:szCs w:val="24"/>
        </w:rPr>
        <w:t xml:space="preserve"> </w:t>
      </w:r>
      <w:r w:rsidR="002A1054" w:rsidRPr="006A7A69">
        <w:rPr>
          <w:rFonts w:ascii="Arial" w:hAnsi="Arial"/>
          <w:sz w:val="24"/>
          <w:szCs w:val="24"/>
        </w:rPr>
        <w:t xml:space="preserve">following its </w:t>
      </w:r>
      <w:r w:rsidR="00FF54CB" w:rsidRPr="006A7A69">
        <w:rPr>
          <w:rFonts w:ascii="Arial" w:hAnsi="Arial"/>
          <w:sz w:val="24"/>
          <w:szCs w:val="24"/>
        </w:rPr>
        <w:t>dismiss</w:t>
      </w:r>
      <w:r w:rsidR="002A1054" w:rsidRPr="006A7A69">
        <w:rPr>
          <w:rFonts w:ascii="Arial" w:hAnsi="Arial"/>
          <w:sz w:val="24"/>
          <w:szCs w:val="24"/>
        </w:rPr>
        <w:t>al</w:t>
      </w:r>
      <w:r w:rsidR="00FF54CB" w:rsidRPr="006A7A69">
        <w:rPr>
          <w:rFonts w:ascii="Arial" w:hAnsi="Arial"/>
          <w:sz w:val="24"/>
          <w:szCs w:val="24"/>
        </w:rPr>
        <w:t xml:space="preserve"> as a ‘fiscal illusion’</w:t>
      </w:r>
      <w:r w:rsidR="003A2106" w:rsidRPr="006A7A69">
        <w:rPr>
          <w:rFonts w:ascii="Arial" w:hAnsi="Arial"/>
          <w:sz w:val="24"/>
          <w:szCs w:val="24"/>
        </w:rPr>
        <w:t xml:space="preserve"> by the </w:t>
      </w:r>
      <w:r w:rsidR="00A47570" w:rsidRPr="006A7A69">
        <w:rPr>
          <w:rFonts w:ascii="Arial" w:hAnsi="Arial"/>
          <w:sz w:val="24"/>
          <w:szCs w:val="24"/>
        </w:rPr>
        <w:t>O</w:t>
      </w:r>
      <w:r w:rsidR="003A2106" w:rsidRPr="006A7A69">
        <w:rPr>
          <w:rFonts w:ascii="Arial" w:hAnsi="Arial"/>
          <w:sz w:val="24"/>
          <w:szCs w:val="24"/>
        </w:rPr>
        <w:t>ffice of Budget Responsibility</w:t>
      </w:r>
      <w:r w:rsidR="002A1054" w:rsidRPr="006A7A69">
        <w:rPr>
          <w:rFonts w:ascii="Arial" w:hAnsi="Arial"/>
          <w:sz w:val="24"/>
          <w:szCs w:val="24"/>
        </w:rPr>
        <w:t xml:space="preserve"> (OBR)</w:t>
      </w:r>
      <w:r w:rsidR="003A2106" w:rsidRPr="006A7A69">
        <w:rPr>
          <w:rFonts w:ascii="Arial" w:hAnsi="Arial"/>
          <w:sz w:val="24"/>
          <w:szCs w:val="24"/>
        </w:rPr>
        <w:t xml:space="preserve"> </w:t>
      </w:r>
      <w:r w:rsidR="00A47570" w:rsidRPr="006A7A69">
        <w:rPr>
          <w:rFonts w:ascii="Arial" w:hAnsi="Arial"/>
          <w:sz w:val="24"/>
          <w:szCs w:val="24"/>
        </w:rPr>
        <w:t>in 2017</w:t>
      </w:r>
      <w:r w:rsidR="00420BDC">
        <w:rPr>
          <w:rFonts w:ascii="Arial" w:hAnsi="Arial"/>
          <w:sz w:val="24"/>
          <w:szCs w:val="24"/>
        </w:rPr>
        <w:t>, provides testimony to that</w:t>
      </w:r>
      <w:r w:rsidR="003969AC">
        <w:rPr>
          <w:rFonts w:ascii="Arial" w:hAnsi="Arial"/>
          <w:sz w:val="24"/>
          <w:szCs w:val="24"/>
        </w:rPr>
        <w:t xml:space="preserve">, </w:t>
      </w:r>
      <w:hyperlink r:id="rId10" w:history="1">
        <w:r w:rsidR="00072F6F" w:rsidRPr="00072F6F">
          <w:rPr>
            <w:rStyle w:val="Hyperlink"/>
            <w:rFonts w:ascii="Arial" w:hAnsi="Arial"/>
            <w:sz w:val="24"/>
            <w:szCs w:val="24"/>
          </w:rPr>
          <w:t>Budget 2018, PF1and2</w:t>
        </w:r>
      </w:hyperlink>
      <w:r w:rsidR="00072F6F">
        <w:rPr>
          <w:rFonts w:ascii="Arial" w:hAnsi="Arial"/>
          <w:sz w:val="24"/>
          <w:szCs w:val="24"/>
        </w:rPr>
        <w:t xml:space="preserve"> </w:t>
      </w:r>
      <w:r w:rsidR="00A47570" w:rsidRPr="006A7A69">
        <w:rPr>
          <w:rFonts w:ascii="Arial" w:hAnsi="Arial"/>
          <w:sz w:val="24"/>
          <w:szCs w:val="24"/>
        </w:rPr>
        <w:t>.</w:t>
      </w:r>
    </w:p>
    <w:p w14:paraId="30404A7E" w14:textId="63B61798" w:rsidR="00306984" w:rsidRPr="006A7A69" w:rsidRDefault="00180608" w:rsidP="00306984">
      <w:pPr>
        <w:spacing w:after="390" w:line="240" w:lineRule="auto"/>
        <w:rPr>
          <w:rFonts w:ascii="Arial" w:hAnsi="Arial"/>
          <w:sz w:val="24"/>
          <w:szCs w:val="24"/>
        </w:rPr>
      </w:pPr>
      <w:r w:rsidRPr="006A7A69">
        <w:rPr>
          <w:rFonts w:ascii="Arial" w:hAnsi="Arial"/>
          <w:sz w:val="24"/>
          <w:szCs w:val="24"/>
        </w:rPr>
        <w:t>Other P</w:t>
      </w:r>
      <w:r w:rsidR="00EA0D13" w:rsidRPr="006A7A69">
        <w:rPr>
          <w:rFonts w:ascii="Arial" w:hAnsi="Arial"/>
          <w:sz w:val="24"/>
          <w:szCs w:val="24"/>
        </w:rPr>
        <w:t>ublic-</w:t>
      </w:r>
      <w:r w:rsidRPr="006A7A69">
        <w:rPr>
          <w:rFonts w:ascii="Arial" w:hAnsi="Arial"/>
          <w:sz w:val="24"/>
          <w:szCs w:val="24"/>
        </w:rPr>
        <w:t>P</w:t>
      </w:r>
      <w:r w:rsidR="00EA0D13" w:rsidRPr="006A7A69">
        <w:rPr>
          <w:rFonts w:ascii="Arial" w:hAnsi="Arial"/>
          <w:sz w:val="24"/>
          <w:szCs w:val="24"/>
        </w:rPr>
        <w:t xml:space="preserve">rivate </w:t>
      </w:r>
      <w:r w:rsidRPr="006A7A69">
        <w:rPr>
          <w:rFonts w:ascii="Arial" w:hAnsi="Arial"/>
          <w:sz w:val="24"/>
          <w:szCs w:val="24"/>
        </w:rPr>
        <w:t>P</w:t>
      </w:r>
      <w:r w:rsidR="00EA0D13" w:rsidRPr="006A7A69">
        <w:rPr>
          <w:rFonts w:ascii="Arial" w:hAnsi="Arial"/>
          <w:sz w:val="24"/>
          <w:szCs w:val="24"/>
        </w:rPr>
        <w:t>artne</w:t>
      </w:r>
      <w:r w:rsidR="00C626BE" w:rsidRPr="006A7A69">
        <w:rPr>
          <w:rFonts w:ascii="Arial" w:hAnsi="Arial"/>
          <w:sz w:val="24"/>
          <w:szCs w:val="24"/>
        </w:rPr>
        <w:t>rship</w:t>
      </w:r>
      <w:r w:rsidRPr="006A7A69">
        <w:rPr>
          <w:rFonts w:ascii="Arial" w:hAnsi="Arial"/>
          <w:sz w:val="24"/>
          <w:szCs w:val="24"/>
        </w:rPr>
        <w:t>s (PPP)</w:t>
      </w:r>
      <w:r w:rsidR="005C2EAB">
        <w:rPr>
          <w:rFonts w:ascii="Arial" w:hAnsi="Arial"/>
          <w:sz w:val="24"/>
          <w:szCs w:val="24"/>
        </w:rPr>
        <w:t>,</w:t>
      </w:r>
      <w:r w:rsidRPr="006A7A69">
        <w:rPr>
          <w:rFonts w:ascii="Arial" w:hAnsi="Arial"/>
          <w:sz w:val="24"/>
          <w:szCs w:val="24"/>
        </w:rPr>
        <w:t xml:space="preserve"> </w:t>
      </w:r>
      <w:r w:rsidR="00EA0D13" w:rsidRPr="006A7A69">
        <w:rPr>
          <w:rFonts w:ascii="Arial" w:hAnsi="Arial"/>
          <w:sz w:val="24"/>
          <w:szCs w:val="24"/>
        </w:rPr>
        <w:t>fr</w:t>
      </w:r>
      <w:r w:rsidR="00DA1CE7" w:rsidRPr="006A7A69">
        <w:rPr>
          <w:rFonts w:ascii="Arial" w:hAnsi="Arial"/>
          <w:sz w:val="24"/>
          <w:szCs w:val="24"/>
        </w:rPr>
        <w:t>o</w:t>
      </w:r>
      <w:r w:rsidR="00EA0D13" w:rsidRPr="006A7A69">
        <w:rPr>
          <w:rFonts w:ascii="Arial" w:hAnsi="Arial"/>
          <w:sz w:val="24"/>
          <w:szCs w:val="24"/>
        </w:rPr>
        <w:t xml:space="preserve">m the London Underground </w:t>
      </w:r>
      <w:r w:rsidR="00C626BE" w:rsidRPr="006A7A69">
        <w:rPr>
          <w:rFonts w:ascii="Arial" w:hAnsi="Arial"/>
          <w:sz w:val="24"/>
          <w:szCs w:val="24"/>
        </w:rPr>
        <w:t>Tube PPP</w:t>
      </w:r>
      <w:r w:rsidR="00670D89" w:rsidRPr="006A7A69">
        <w:rPr>
          <w:rFonts w:ascii="Arial" w:hAnsi="Arial"/>
          <w:sz w:val="24"/>
          <w:szCs w:val="24"/>
        </w:rPr>
        <w:t xml:space="preserve"> to the recent Thames Tideway</w:t>
      </w:r>
      <w:r w:rsidR="005C2EAB">
        <w:rPr>
          <w:rFonts w:ascii="Arial" w:hAnsi="Arial"/>
          <w:sz w:val="24"/>
          <w:szCs w:val="24"/>
        </w:rPr>
        <w:t>,</w:t>
      </w:r>
      <w:r w:rsidR="00670D89" w:rsidRPr="006A7A69">
        <w:rPr>
          <w:rFonts w:ascii="Arial" w:hAnsi="Arial"/>
          <w:sz w:val="24"/>
          <w:szCs w:val="24"/>
        </w:rPr>
        <w:t xml:space="preserve"> </w:t>
      </w:r>
      <w:r w:rsidR="00DA1CE7" w:rsidRPr="006A7A69">
        <w:rPr>
          <w:rFonts w:ascii="Arial" w:hAnsi="Arial"/>
          <w:sz w:val="24"/>
          <w:szCs w:val="24"/>
        </w:rPr>
        <w:t xml:space="preserve">have involved expensive use of private money </w:t>
      </w:r>
      <w:r w:rsidR="00C20DCB">
        <w:rPr>
          <w:rFonts w:ascii="Arial" w:hAnsi="Arial"/>
          <w:sz w:val="24"/>
          <w:szCs w:val="24"/>
        </w:rPr>
        <w:t xml:space="preserve">often </w:t>
      </w:r>
      <w:r w:rsidR="00DA1CE7" w:rsidRPr="006A7A69">
        <w:rPr>
          <w:rFonts w:ascii="Arial" w:hAnsi="Arial"/>
          <w:sz w:val="24"/>
          <w:szCs w:val="24"/>
        </w:rPr>
        <w:t>combined with hidden subsidies</w:t>
      </w:r>
      <w:r w:rsidR="00C74539" w:rsidRPr="006A7A69">
        <w:rPr>
          <w:rFonts w:ascii="Arial" w:hAnsi="Arial"/>
          <w:sz w:val="24"/>
          <w:szCs w:val="24"/>
        </w:rPr>
        <w:t xml:space="preserve"> that have or wil</w:t>
      </w:r>
      <w:r w:rsidR="005C2EAB">
        <w:rPr>
          <w:rFonts w:ascii="Arial" w:hAnsi="Arial"/>
          <w:sz w:val="24"/>
          <w:szCs w:val="24"/>
        </w:rPr>
        <w:t>l</w:t>
      </w:r>
      <w:r w:rsidR="00C74539" w:rsidRPr="006A7A69">
        <w:rPr>
          <w:rFonts w:ascii="Arial" w:hAnsi="Arial"/>
          <w:sz w:val="24"/>
          <w:szCs w:val="24"/>
        </w:rPr>
        <w:t xml:space="preserve"> ultimately </w:t>
      </w:r>
      <w:r w:rsidR="00DD22E6" w:rsidRPr="006A7A69">
        <w:rPr>
          <w:rFonts w:ascii="Arial" w:hAnsi="Arial"/>
          <w:sz w:val="24"/>
          <w:szCs w:val="24"/>
        </w:rPr>
        <w:t>have to be met by</w:t>
      </w:r>
      <w:r w:rsidR="00C74539" w:rsidRPr="006A7A69">
        <w:rPr>
          <w:rFonts w:ascii="Arial" w:hAnsi="Arial"/>
          <w:sz w:val="24"/>
          <w:szCs w:val="24"/>
        </w:rPr>
        <w:t xml:space="preserve"> the consumer</w:t>
      </w:r>
      <w:r w:rsidR="005F7D5C" w:rsidRPr="006A7A69">
        <w:rPr>
          <w:rFonts w:ascii="Arial" w:hAnsi="Arial"/>
          <w:sz w:val="24"/>
          <w:szCs w:val="24"/>
        </w:rPr>
        <w:t xml:space="preserve"> or </w:t>
      </w:r>
      <w:r w:rsidR="00C20DCB">
        <w:rPr>
          <w:rFonts w:ascii="Arial" w:hAnsi="Arial"/>
          <w:sz w:val="24"/>
          <w:szCs w:val="24"/>
        </w:rPr>
        <w:t xml:space="preserve">from the </w:t>
      </w:r>
      <w:r w:rsidR="005F7D5C" w:rsidRPr="006A7A69">
        <w:rPr>
          <w:rFonts w:ascii="Arial" w:hAnsi="Arial"/>
          <w:sz w:val="24"/>
          <w:szCs w:val="24"/>
        </w:rPr>
        <w:t>public purse.</w:t>
      </w:r>
      <w:r w:rsidR="00C74539" w:rsidRPr="006A7A69">
        <w:rPr>
          <w:rFonts w:ascii="Arial" w:hAnsi="Arial"/>
          <w:sz w:val="24"/>
          <w:szCs w:val="24"/>
        </w:rPr>
        <w:t xml:space="preserve">  </w:t>
      </w:r>
    </w:p>
    <w:p w14:paraId="5D3D16A6" w14:textId="608793B6" w:rsidR="00F5656E" w:rsidRPr="006A7A69" w:rsidRDefault="00180608" w:rsidP="6F9A4702">
      <w:pPr>
        <w:spacing w:after="390" w:line="240" w:lineRule="auto"/>
        <w:rPr>
          <w:rFonts w:ascii="Arial" w:hAnsi="Arial"/>
          <w:sz w:val="24"/>
          <w:szCs w:val="24"/>
        </w:rPr>
      </w:pPr>
      <w:r w:rsidRPr="006A7A69">
        <w:rPr>
          <w:rFonts w:ascii="Arial" w:hAnsi="Arial"/>
          <w:sz w:val="24"/>
          <w:szCs w:val="24"/>
        </w:rPr>
        <w:t>Progress has been made</w:t>
      </w:r>
      <w:r w:rsidR="003E09A4" w:rsidRPr="006A7A69">
        <w:rPr>
          <w:rFonts w:ascii="Arial" w:hAnsi="Arial"/>
          <w:sz w:val="24"/>
          <w:szCs w:val="24"/>
        </w:rPr>
        <w:t>. The establishment of the</w:t>
      </w:r>
      <w:r w:rsidR="00A61CC0" w:rsidRPr="006A7A69">
        <w:rPr>
          <w:rFonts w:ascii="Arial" w:hAnsi="Arial"/>
          <w:sz w:val="24"/>
          <w:szCs w:val="24"/>
        </w:rPr>
        <w:t xml:space="preserve"> Infrastruct</w:t>
      </w:r>
      <w:r w:rsidR="00AD464B" w:rsidRPr="006A7A69">
        <w:rPr>
          <w:rFonts w:ascii="Arial" w:hAnsi="Arial"/>
          <w:sz w:val="24"/>
          <w:szCs w:val="24"/>
        </w:rPr>
        <w:t xml:space="preserve">ure Projects Authority (IPA) </w:t>
      </w:r>
      <w:r w:rsidR="0008725C" w:rsidRPr="006A7A69">
        <w:rPr>
          <w:rFonts w:ascii="Arial" w:hAnsi="Arial"/>
          <w:sz w:val="24"/>
          <w:szCs w:val="24"/>
        </w:rPr>
        <w:t>in 2016, and the National Infra</w:t>
      </w:r>
      <w:r w:rsidR="00F27593" w:rsidRPr="006A7A69">
        <w:rPr>
          <w:rFonts w:ascii="Arial" w:hAnsi="Arial"/>
          <w:sz w:val="24"/>
          <w:szCs w:val="24"/>
        </w:rPr>
        <w:t>structure Commission (N</w:t>
      </w:r>
      <w:r w:rsidR="00CA1EAE" w:rsidRPr="006A7A69">
        <w:rPr>
          <w:rFonts w:ascii="Arial" w:hAnsi="Arial"/>
          <w:sz w:val="24"/>
          <w:szCs w:val="24"/>
        </w:rPr>
        <w:t>IC</w:t>
      </w:r>
      <w:r w:rsidR="00F27593" w:rsidRPr="006A7A69">
        <w:rPr>
          <w:rFonts w:ascii="Arial" w:hAnsi="Arial"/>
          <w:sz w:val="24"/>
          <w:szCs w:val="24"/>
        </w:rPr>
        <w:t>) in 2017,</w:t>
      </w:r>
      <w:r w:rsidR="005813FF" w:rsidRPr="006A7A69">
        <w:rPr>
          <w:rFonts w:ascii="Arial" w:hAnsi="Arial"/>
          <w:sz w:val="24"/>
          <w:szCs w:val="24"/>
        </w:rPr>
        <w:t xml:space="preserve"> </w:t>
      </w:r>
      <w:r w:rsidR="00662008" w:rsidRPr="006A7A69">
        <w:rPr>
          <w:rFonts w:ascii="Arial" w:hAnsi="Arial"/>
          <w:sz w:val="24"/>
          <w:szCs w:val="24"/>
        </w:rPr>
        <w:t>provides potentially a stronger institutional footing for the effective planning, funding</w:t>
      </w:r>
      <w:r w:rsidR="00F5656E" w:rsidRPr="006A7A69">
        <w:rPr>
          <w:rFonts w:ascii="Arial" w:hAnsi="Arial"/>
          <w:sz w:val="24"/>
          <w:szCs w:val="24"/>
        </w:rPr>
        <w:t>, selection and execution of infrastructural</w:t>
      </w:r>
      <w:r w:rsidR="00B9712F">
        <w:rPr>
          <w:rFonts w:ascii="Arial" w:hAnsi="Arial"/>
          <w:sz w:val="24"/>
          <w:szCs w:val="24"/>
        </w:rPr>
        <w:t xml:space="preserve"> projects</w:t>
      </w:r>
      <w:r w:rsidR="00F5656E" w:rsidRPr="006A7A69">
        <w:rPr>
          <w:rFonts w:ascii="Arial" w:hAnsi="Arial"/>
          <w:sz w:val="24"/>
          <w:szCs w:val="24"/>
        </w:rPr>
        <w:t xml:space="preserve">. </w:t>
      </w:r>
    </w:p>
    <w:p w14:paraId="4B0837D6" w14:textId="773CC781" w:rsidR="00774F33" w:rsidRPr="006A7A69" w:rsidRDefault="006F41B9" w:rsidP="6F9A4702">
      <w:pPr>
        <w:spacing w:after="390" w:line="240" w:lineRule="auto"/>
        <w:rPr>
          <w:rFonts w:ascii="Arial" w:hAnsi="Arial"/>
          <w:sz w:val="24"/>
          <w:szCs w:val="24"/>
        </w:rPr>
      </w:pPr>
      <w:r w:rsidRPr="006A7A69">
        <w:rPr>
          <w:rFonts w:ascii="Arial" w:hAnsi="Arial"/>
          <w:sz w:val="24"/>
          <w:szCs w:val="24"/>
        </w:rPr>
        <w:t xml:space="preserve">There is better </w:t>
      </w:r>
      <w:r w:rsidR="00EC3635">
        <w:rPr>
          <w:rFonts w:ascii="Arial" w:hAnsi="Arial"/>
          <w:sz w:val="24"/>
          <w:szCs w:val="24"/>
        </w:rPr>
        <w:t xml:space="preserve">shared political </w:t>
      </w:r>
      <w:r w:rsidRPr="006A7A69">
        <w:rPr>
          <w:rFonts w:ascii="Arial" w:hAnsi="Arial"/>
          <w:sz w:val="24"/>
          <w:szCs w:val="24"/>
        </w:rPr>
        <w:t xml:space="preserve">understanding </w:t>
      </w:r>
      <w:r w:rsidR="00866DBF" w:rsidRPr="006A7A69">
        <w:rPr>
          <w:rFonts w:ascii="Arial" w:hAnsi="Arial"/>
          <w:sz w:val="24"/>
          <w:szCs w:val="24"/>
        </w:rPr>
        <w:t xml:space="preserve">of </w:t>
      </w:r>
      <w:r w:rsidR="00B7148D" w:rsidRPr="006A7A69">
        <w:rPr>
          <w:rFonts w:ascii="Arial" w:hAnsi="Arial"/>
          <w:sz w:val="24"/>
          <w:szCs w:val="24"/>
        </w:rPr>
        <w:t>the role that</w:t>
      </w:r>
      <w:r w:rsidR="009B2790" w:rsidRPr="006A7A69">
        <w:rPr>
          <w:rFonts w:ascii="Arial" w:hAnsi="Arial"/>
          <w:sz w:val="24"/>
          <w:szCs w:val="24"/>
        </w:rPr>
        <w:t xml:space="preserve"> public infrastructural</w:t>
      </w:r>
      <w:r w:rsidR="00B22DD4">
        <w:rPr>
          <w:rFonts w:ascii="Arial" w:hAnsi="Arial"/>
          <w:sz w:val="24"/>
          <w:szCs w:val="24"/>
        </w:rPr>
        <w:t xml:space="preserve"> investment </w:t>
      </w:r>
      <w:r w:rsidR="009B2790" w:rsidRPr="006A7A69">
        <w:rPr>
          <w:rFonts w:ascii="Arial" w:hAnsi="Arial"/>
          <w:sz w:val="24"/>
          <w:szCs w:val="24"/>
        </w:rPr>
        <w:t xml:space="preserve">must play in underpinning a </w:t>
      </w:r>
      <w:r w:rsidR="00897917" w:rsidRPr="006A7A69">
        <w:rPr>
          <w:rFonts w:ascii="Arial" w:hAnsi="Arial"/>
          <w:sz w:val="24"/>
          <w:szCs w:val="24"/>
        </w:rPr>
        <w:t xml:space="preserve">future </w:t>
      </w:r>
      <w:r w:rsidR="009B2790" w:rsidRPr="006A7A69">
        <w:rPr>
          <w:rFonts w:ascii="Arial" w:hAnsi="Arial"/>
          <w:sz w:val="24"/>
          <w:szCs w:val="24"/>
        </w:rPr>
        <w:t>sustainable productivity-driven growth economy</w:t>
      </w:r>
      <w:r w:rsidR="00774F33" w:rsidRPr="006A7A69">
        <w:rPr>
          <w:rFonts w:ascii="Arial" w:hAnsi="Arial"/>
          <w:sz w:val="24"/>
          <w:szCs w:val="24"/>
        </w:rPr>
        <w:t>.</w:t>
      </w:r>
    </w:p>
    <w:p w14:paraId="1D5002B4" w14:textId="0897C8B3" w:rsidR="000547AB" w:rsidRDefault="00C838D2" w:rsidP="6F9A4702">
      <w:pPr>
        <w:spacing w:after="390" w:line="240" w:lineRule="auto"/>
        <w:rPr>
          <w:rFonts w:ascii="Arial" w:hAnsi="Arial"/>
          <w:sz w:val="24"/>
          <w:szCs w:val="24"/>
        </w:rPr>
      </w:pPr>
      <w:r>
        <w:rPr>
          <w:rFonts w:ascii="Arial" w:hAnsi="Arial"/>
          <w:sz w:val="24"/>
          <w:szCs w:val="24"/>
        </w:rPr>
        <w:t>Yet t</w:t>
      </w:r>
      <w:r w:rsidR="00774F33" w:rsidRPr="006A7A69">
        <w:rPr>
          <w:rFonts w:ascii="Arial" w:hAnsi="Arial"/>
          <w:sz w:val="24"/>
          <w:szCs w:val="24"/>
        </w:rPr>
        <w:t>h</w:t>
      </w:r>
      <w:r w:rsidR="00E60E59" w:rsidRPr="006A7A69">
        <w:rPr>
          <w:rFonts w:ascii="Arial" w:hAnsi="Arial"/>
          <w:sz w:val="24"/>
          <w:szCs w:val="24"/>
        </w:rPr>
        <w:t xml:space="preserve">e </w:t>
      </w:r>
      <w:r w:rsidR="00BC387E">
        <w:rPr>
          <w:rFonts w:ascii="Arial" w:hAnsi="Arial"/>
          <w:sz w:val="24"/>
          <w:szCs w:val="24"/>
        </w:rPr>
        <w:t xml:space="preserve">fiscal and </w:t>
      </w:r>
      <w:r w:rsidR="00E60E59" w:rsidRPr="006A7A69">
        <w:rPr>
          <w:rFonts w:ascii="Arial" w:hAnsi="Arial"/>
          <w:sz w:val="24"/>
          <w:szCs w:val="24"/>
        </w:rPr>
        <w:t xml:space="preserve">institutional environment </w:t>
      </w:r>
      <w:r w:rsidR="00BC387E">
        <w:rPr>
          <w:rFonts w:ascii="Arial" w:hAnsi="Arial"/>
          <w:sz w:val="24"/>
          <w:szCs w:val="24"/>
        </w:rPr>
        <w:t xml:space="preserve">for </w:t>
      </w:r>
      <w:r w:rsidR="003E2F59">
        <w:rPr>
          <w:rFonts w:ascii="Arial" w:hAnsi="Arial"/>
          <w:sz w:val="24"/>
          <w:szCs w:val="24"/>
        </w:rPr>
        <w:t xml:space="preserve">the </w:t>
      </w:r>
      <w:r w:rsidR="00BC387E">
        <w:rPr>
          <w:rFonts w:ascii="Arial" w:hAnsi="Arial"/>
          <w:sz w:val="24"/>
          <w:szCs w:val="24"/>
        </w:rPr>
        <w:t xml:space="preserve">funding, selecting, and delivering </w:t>
      </w:r>
      <w:r w:rsidR="003E2F59">
        <w:rPr>
          <w:rFonts w:ascii="Arial" w:hAnsi="Arial"/>
          <w:sz w:val="24"/>
          <w:szCs w:val="24"/>
        </w:rPr>
        <w:t xml:space="preserve">of </w:t>
      </w:r>
      <w:r w:rsidR="00BC387E">
        <w:rPr>
          <w:rFonts w:ascii="Arial" w:hAnsi="Arial"/>
          <w:sz w:val="24"/>
          <w:szCs w:val="24"/>
        </w:rPr>
        <w:t>infrastructure</w:t>
      </w:r>
      <w:r w:rsidR="00314A6D">
        <w:rPr>
          <w:rFonts w:ascii="Arial" w:hAnsi="Arial"/>
          <w:sz w:val="24"/>
          <w:szCs w:val="24"/>
        </w:rPr>
        <w:t>,</w:t>
      </w:r>
      <w:r w:rsidR="00BC387E">
        <w:rPr>
          <w:rFonts w:ascii="Arial" w:hAnsi="Arial"/>
          <w:sz w:val="24"/>
          <w:szCs w:val="24"/>
        </w:rPr>
        <w:t xml:space="preserve"> </w:t>
      </w:r>
      <w:r w:rsidR="00E60E59" w:rsidRPr="006A7A69">
        <w:rPr>
          <w:rFonts w:ascii="Arial" w:hAnsi="Arial"/>
          <w:sz w:val="24"/>
          <w:szCs w:val="24"/>
        </w:rPr>
        <w:t>remains</w:t>
      </w:r>
      <w:r w:rsidR="00C626BE" w:rsidRPr="006A7A69">
        <w:rPr>
          <w:rFonts w:ascii="Arial" w:hAnsi="Arial"/>
          <w:sz w:val="24"/>
          <w:szCs w:val="24"/>
        </w:rPr>
        <w:t xml:space="preserve">, unfortunately, </w:t>
      </w:r>
      <w:r w:rsidR="00E60E59" w:rsidRPr="006A7A69">
        <w:rPr>
          <w:rFonts w:ascii="Arial" w:hAnsi="Arial"/>
          <w:sz w:val="24"/>
          <w:szCs w:val="24"/>
        </w:rPr>
        <w:t xml:space="preserve">unfit for purpose. </w:t>
      </w:r>
    </w:p>
    <w:p w14:paraId="6386C481" w14:textId="76F42253" w:rsidR="003A6C42" w:rsidRDefault="008F6902" w:rsidP="6F9A4702">
      <w:pPr>
        <w:spacing w:after="390" w:line="240" w:lineRule="auto"/>
        <w:rPr>
          <w:rFonts w:ascii="Arial" w:hAnsi="Arial"/>
          <w:sz w:val="24"/>
          <w:szCs w:val="24"/>
        </w:rPr>
      </w:pPr>
      <w:r>
        <w:rPr>
          <w:rFonts w:ascii="Arial" w:hAnsi="Arial"/>
          <w:sz w:val="24"/>
          <w:szCs w:val="24"/>
        </w:rPr>
        <w:t>T</w:t>
      </w:r>
      <w:r w:rsidR="007019B9">
        <w:rPr>
          <w:rFonts w:ascii="Arial" w:hAnsi="Arial"/>
          <w:sz w:val="24"/>
          <w:szCs w:val="24"/>
        </w:rPr>
        <w:t xml:space="preserve">his </w:t>
      </w:r>
      <w:hyperlink r:id="rId11" w:history="1">
        <w:r w:rsidR="000732A6" w:rsidRPr="000732A6">
          <w:rPr>
            <w:rStyle w:val="Hyperlink"/>
            <w:rFonts w:ascii="Arial" w:hAnsi="Arial"/>
            <w:sz w:val="24"/>
            <w:szCs w:val="24"/>
          </w:rPr>
          <w:t>Infrastructure Finance Review</w:t>
        </w:r>
      </w:hyperlink>
      <w:r w:rsidR="000732A6">
        <w:rPr>
          <w:rFonts w:ascii="Arial" w:hAnsi="Arial"/>
          <w:sz w:val="24"/>
          <w:szCs w:val="24"/>
        </w:rPr>
        <w:t xml:space="preserve">  (the </w:t>
      </w:r>
      <w:r w:rsidR="000732A6" w:rsidRPr="0045559A">
        <w:rPr>
          <w:rFonts w:ascii="Arial" w:hAnsi="Arial"/>
          <w:i/>
          <w:iCs/>
          <w:sz w:val="24"/>
          <w:szCs w:val="24"/>
        </w:rPr>
        <w:t>Consultation</w:t>
      </w:r>
      <w:r w:rsidR="000732A6">
        <w:rPr>
          <w:rFonts w:ascii="Arial" w:hAnsi="Arial"/>
          <w:sz w:val="24"/>
          <w:szCs w:val="24"/>
        </w:rPr>
        <w:t xml:space="preserve">) </w:t>
      </w:r>
      <w:r w:rsidR="00F36943">
        <w:rPr>
          <w:rFonts w:ascii="Arial" w:hAnsi="Arial"/>
          <w:sz w:val="24"/>
          <w:szCs w:val="24"/>
        </w:rPr>
        <w:t xml:space="preserve">seeks stakeholder </w:t>
      </w:r>
      <w:r w:rsidR="00794371">
        <w:rPr>
          <w:rFonts w:ascii="Arial" w:hAnsi="Arial"/>
          <w:sz w:val="24"/>
          <w:szCs w:val="24"/>
        </w:rPr>
        <w:t>views on securing</w:t>
      </w:r>
      <w:r w:rsidR="0059087D">
        <w:rPr>
          <w:rFonts w:ascii="Arial" w:hAnsi="Arial"/>
          <w:sz w:val="24"/>
          <w:szCs w:val="24"/>
        </w:rPr>
        <w:t xml:space="preserve"> private finance </w:t>
      </w:r>
      <w:r w:rsidR="00A21379">
        <w:rPr>
          <w:rFonts w:ascii="Arial" w:hAnsi="Arial"/>
          <w:sz w:val="24"/>
          <w:szCs w:val="24"/>
        </w:rPr>
        <w:t>in</w:t>
      </w:r>
      <w:r w:rsidR="00C1277E">
        <w:rPr>
          <w:rFonts w:ascii="Arial" w:hAnsi="Arial"/>
          <w:sz w:val="24"/>
          <w:szCs w:val="24"/>
        </w:rPr>
        <w:t xml:space="preserve"> support of</w:t>
      </w:r>
      <w:r w:rsidR="00A21379">
        <w:rPr>
          <w:rFonts w:ascii="Arial" w:hAnsi="Arial"/>
          <w:sz w:val="24"/>
          <w:szCs w:val="24"/>
        </w:rPr>
        <w:t xml:space="preserve"> productive infrastructural provision </w:t>
      </w:r>
      <w:r w:rsidR="00C1277E">
        <w:rPr>
          <w:rFonts w:ascii="Arial" w:hAnsi="Arial"/>
          <w:sz w:val="24"/>
          <w:szCs w:val="24"/>
        </w:rPr>
        <w:t xml:space="preserve">in such a way </w:t>
      </w:r>
      <w:r w:rsidR="00246CC1">
        <w:rPr>
          <w:rFonts w:ascii="Arial" w:hAnsi="Arial"/>
          <w:sz w:val="24"/>
          <w:szCs w:val="24"/>
        </w:rPr>
        <w:t xml:space="preserve">that the ‘benefits brought by private finance </w:t>
      </w:r>
      <w:r w:rsidR="00A83C15">
        <w:rPr>
          <w:rFonts w:ascii="Arial" w:hAnsi="Arial"/>
          <w:sz w:val="24"/>
          <w:szCs w:val="24"/>
        </w:rPr>
        <w:t xml:space="preserve">must </w:t>
      </w:r>
      <w:r w:rsidR="00246CC1">
        <w:rPr>
          <w:rFonts w:ascii="Arial" w:hAnsi="Arial"/>
          <w:sz w:val="24"/>
          <w:szCs w:val="24"/>
        </w:rPr>
        <w:t xml:space="preserve">outweigh </w:t>
      </w:r>
      <w:r w:rsidR="00A83C15">
        <w:rPr>
          <w:rFonts w:ascii="Arial" w:hAnsi="Arial"/>
          <w:sz w:val="24"/>
          <w:szCs w:val="24"/>
        </w:rPr>
        <w:t xml:space="preserve">the additional cost to the taxpayer </w:t>
      </w:r>
      <w:r w:rsidR="009663F9">
        <w:rPr>
          <w:rFonts w:ascii="Arial" w:hAnsi="Arial"/>
          <w:sz w:val="24"/>
          <w:szCs w:val="24"/>
        </w:rPr>
        <w:t xml:space="preserve">of using private capital’, </w:t>
      </w:r>
      <w:r w:rsidR="00272676">
        <w:rPr>
          <w:rFonts w:ascii="Arial" w:hAnsi="Arial"/>
          <w:sz w:val="24"/>
          <w:szCs w:val="24"/>
        </w:rPr>
        <w:t>(</w:t>
      </w:r>
      <w:r w:rsidR="009663F9" w:rsidRPr="009663F9">
        <w:rPr>
          <w:rFonts w:ascii="Arial" w:hAnsi="Arial"/>
          <w:i/>
          <w:iCs/>
          <w:sz w:val="24"/>
          <w:szCs w:val="24"/>
        </w:rPr>
        <w:t>para. 1.9</w:t>
      </w:r>
      <w:r w:rsidR="00272676">
        <w:rPr>
          <w:rFonts w:ascii="Arial" w:hAnsi="Arial"/>
          <w:i/>
          <w:iCs/>
          <w:sz w:val="24"/>
          <w:szCs w:val="24"/>
        </w:rPr>
        <w:t>)</w:t>
      </w:r>
      <w:r w:rsidR="0045559A">
        <w:rPr>
          <w:rFonts w:ascii="Arial" w:hAnsi="Arial"/>
          <w:i/>
          <w:iCs/>
          <w:sz w:val="24"/>
          <w:szCs w:val="24"/>
        </w:rPr>
        <w:t>,</w:t>
      </w:r>
      <w:r w:rsidR="00272676">
        <w:rPr>
          <w:rFonts w:ascii="Arial" w:hAnsi="Arial"/>
          <w:i/>
          <w:iCs/>
          <w:sz w:val="24"/>
          <w:szCs w:val="24"/>
        </w:rPr>
        <w:t xml:space="preserve"> </w:t>
      </w:r>
      <w:r w:rsidR="00272676" w:rsidRPr="00272676">
        <w:rPr>
          <w:rFonts w:ascii="Arial" w:hAnsi="Arial"/>
          <w:sz w:val="24"/>
          <w:szCs w:val="24"/>
        </w:rPr>
        <w:t>and</w:t>
      </w:r>
      <w:r w:rsidR="00923BB8">
        <w:rPr>
          <w:rFonts w:ascii="Arial" w:hAnsi="Arial"/>
          <w:sz w:val="24"/>
          <w:szCs w:val="24"/>
        </w:rPr>
        <w:t xml:space="preserve"> </w:t>
      </w:r>
      <w:r w:rsidR="00CD436C">
        <w:rPr>
          <w:rFonts w:ascii="Arial" w:hAnsi="Arial"/>
          <w:sz w:val="24"/>
          <w:szCs w:val="24"/>
        </w:rPr>
        <w:t>institutional options for delivering government support for infrastruc</w:t>
      </w:r>
      <w:r w:rsidR="0024732B">
        <w:rPr>
          <w:rFonts w:ascii="Arial" w:hAnsi="Arial"/>
          <w:sz w:val="24"/>
          <w:szCs w:val="24"/>
        </w:rPr>
        <w:t xml:space="preserve">tural finance, including establishing </w:t>
      </w:r>
      <w:r w:rsidR="004A7AB7">
        <w:rPr>
          <w:rFonts w:ascii="Arial" w:hAnsi="Arial"/>
          <w:sz w:val="24"/>
          <w:szCs w:val="24"/>
        </w:rPr>
        <w:t xml:space="preserve">a new </w:t>
      </w:r>
      <w:r w:rsidR="004A7AB7">
        <w:rPr>
          <w:rFonts w:ascii="Arial" w:hAnsi="Arial"/>
          <w:sz w:val="24"/>
          <w:szCs w:val="24"/>
        </w:rPr>
        <w:lastRenderedPageBreak/>
        <w:t xml:space="preserve">operationally independent institution in the </w:t>
      </w:r>
      <w:r w:rsidR="001B7ED2">
        <w:rPr>
          <w:rFonts w:ascii="Arial" w:hAnsi="Arial"/>
          <w:sz w:val="24"/>
          <w:szCs w:val="24"/>
        </w:rPr>
        <w:t>expected post-Brexit environment</w:t>
      </w:r>
      <w:r w:rsidR="000171EA">
        <w:rPr>
          <w:rFonts w:ascii="Arial" w:hAnsi="Arial"/>
          <w:sz w:val="24"/>
          <w:szCs w:val="24"/>
        </w:rPr>
        <w:t>,</w:t>
      </w:r>
      <w:r w:rsidR="001B7ED2">
        <w:rPr>
          <w:rFonts w:ascii="Arial" w:hAnsi="Arial"/>
          <w:sz w:val="24"/>
          <w:szCs w:val="24"/>
        </w:rPr>
        <w:t xml:space="preserve"> </w:t>
      </w:r>
      <w:r w:rsidR="00B66032">
        <w:rPr>
          <w:rFonts w:ascii="Arial" w:hAnsi="Arial"/>
          <w:sz w:val="24"/>
          <w:szCs w:val="24"/>
        </w:rPr>
        <w:t xml:space="preserve">when the </w:t>
      </w:r>
      <w:r w:rsidR="003A6C42">
        <w:rPr>
          <w:rFonts w:ascii="Arial" w:hAnsi="Arial"/>
          <w:sz w:val="24"/>
          <w:szCs w:val="24"/>
        </w:rPr>
        <w:t xml:space="preserve">UK will no </w:t>
      </w:r>
      <w:r w:rsidR="0042077E">
        <w:rPr>
          <w:rFonts w:ascii="Arial" w:hAnsi="Arial"/>
          <w:sz w:val="24"/>
          <w:szCs w:val="24"/>
        </w:rPr>
        <w:t xml:space="preserve">longer </w:t>
      </w:r>
      <w:r w:rsidR="003A6C42">
        <w:rPr>
          <w:rFonts w:ascii="Arial" w:hAnsi="Arial"/>
          <w:sz w:val="24"/>
          <w:szCs w:val="24"/>
        </w:rPr>
        <w:t>benefit from access to the European Investment Bank (EIB)</w:t>
      </w:r>
      <w:r w:rsidR="009663F9" w:rsidRPr="00272676">
        <w:rPr>
          <w:rFonts w:ascii="Arial" w:hAnsi="Arial"/>
          <w:sz w:val="24"/>
          <w:szCs w:val="24"/>
        </w:rPr>
        <w:t>.</w:t>
      </w:r>
    </w:p>
    <w:p w14:paraId="70DABA53" w14:textId="63B1EC6E" w:rsidR="000171EA" w:rsidRDefault="00892485" w:rsidP="6F9A4702">
      <w:pPr>
        <w:spacing w:after="390" w:line="240" w:lineRule="auto"/>
        <w:rPr>
          <w:rFonts w:ascii="Arial" w:hAnsi="Arial"/>
          <w:sz w:val="24"/>
          <w:szCs w:val="24"/>
        </w:rPr>
      </w:pPr>
      <w:r>
        <w:rPr>
          <w:rFonts w:ascii="Arial" w:hAnsi="Arial"/>
          <w:sz w:val="24"/>
          <w:szCs w:val="24"/>
        </w:rPr>
        <w:t xml:space="preserve">The considered view of </w:t>
      </w:r>
      <w:hyperlink r:id="rId12" w:history="1">
        <w:r w:rsidR="00374765" w:rsidRPr="00374765">
          <w:rPr>
            <w:rStyle w:val="Hyperlink"/>
            <w:rFonts w:ascii="Arial" w:hAnsi="Arial"/>
            <w:sz w:val="24"/>
            <w:szCs w:val="24"/>
          </w:rPr>
          <w:t>A Social Democratic Future</w:t>
        </w:r>
      </w:hyperlink>
      <w:r w:rsidR="00374765">
        <w:rPr>
          <w:rFonts w:ascii="Arial" w:hAnsi="Arial"/>
          <w:sz w:val="24"/>
          <w:szCs w:val="24"/>
        </w:rPr>
        <w:t xml:space="preserve"> </w:t>
      </w:r>
      <w:r>
        <w:rPr>
          <w:rFonts w:ascii="Arial" w:hAnsi="Arial"/>
          <w:sz w:val="24"/>
          <w:szCs w:val="24"/>
        </w:rPr>
        <w:t xml:space="preserve">is </w:t>
      </w:r>
      <w:r w:rsidR="00244466">
        <w:rPr>
          <w:rFonts w:ascii="Arial" w:hAnsi="Arial"/>
          <w:sz w:val="24"/>
          <w:szCs w:val="24"/>
        </w:rPr>
        <w:t xml:space="preserve">that </w:t>
      </w:r>
      <w:r w:rsidR="00554A5F">
        <w:rPr>
          <w:rFonts w:ascii="Arial" w:hAnsi="Arial"/>
          <w:sz w:val="24"/>
          <w:szCs w:val="24"/>
        </w:rPr>
        <w:t xml:space="preserve">without reform to </w:t>
      </w:r>
      <w:r w:rsidR="003E5452">
        <w:rPr>
          <w:rFonts w:ascii="Arial" w:hAnsi="Arial"/>
          <w:sz w:val="24"/>
          <w:szCs w:val="24"/>
        </w:rPr>
        <w:t xml:space="preserve">the wider  fiscal framework impacting upon </w:t>
      </w:r>
      <w:r w:rsidR="008E57D0">
        <w:rPr>
          <w:rFonts w:ascii="Arial" w:hAnsi="Arial"/>
          <w:sz w:val="24"/>
          <w:szCs w:val="24"/>
        </w:rPr>
        <w:t xml:space="preserve">the availability of </w:t>
      </w:r>
      <w:r w:rsidR="007C4F2B">
        <w:rPr>
          <w:rFonts w:ascii="Arial" w:hAnsi="Arial"/>
          <w:sz w:val="24"/>
          <w:szCs w:val="24"/>
        </w:rPr>
        <w:t xml:space="preserve">public </w:t>
      </w:r>
      <w:r w:rsidR="00267901">
        <w:rPr>
          <w:rFonts w:ascii="Arial" w:hAnsi="Arial"/>
          <w:sz w:val="24"/>
          <w:szCs w:val="24"/>
        </w:rPr>
        <w:t xml:space="preserve">capital resources for productive economic and social infrastructure, </w:t>
      </w:r>
      <w:r w:rsidR="00B05E3E">
        <w:rPr>
          <w:rFonts w:ascii="Arial" w:hAnsi="Arial"/>
          <w:sz w:val="24"/>
          <w:szCs w:val="24"/>
        </w:rPr>
        <w:t>continuing under-investment</w:t>
      </w:r>
      <w:r w:rsidR="00D23478">
        <w:rPr>
          <w:rFonts w:ascii="Arial" w:hAnsi="Arial"/>
          <w:sz w:val="24"/>
          <w:szCs w:val="24"/>
        </w:rPr>
        <w:t xml:space="preserve"> in productive </w:t>
      </w:r>
      <w:r w:rsidR="00B05E3E">
        <w:rPr>
          <w:rFonts w:ascii="Arial" w:hAnsi="Arial"/>
          <w:sz w:val="24"/>
          <w:szCs w:val="24"/>
        </w:rPr>
        <w:t>is inevitable</w:t>
      </w:r>
      <w:r w:rsidR="0070397E">
        <w:rPr>
          <w:rFonts w:ascii="Arial" w:hAnsi="Arial"/>
          <w:sz w:val="24"/>
          <w:szCs w:val="24"/>
        </w:rPr>
        <w:t>,</w:t>
      </w:r>
      <w:r w:rsidR="00B05E3E">
        <w:rPr>
          <w:rFonts w:ascii="Arial" w:hAnsi="Arial"/>
          <w:sz w:val="24"/>
          <w:szCs w:val="24"/>
        </w:rPr>
        <w:t xml:space="preserve"> </w:t>
      </w:r>
      <w:r w:rsidR="000F1995">
        <w:rPr>
          <w:rFonts w:ascii="Arial" w:hAnsi="Arial"/>
          <w:sz w:val="24"/>
          <w:szCs w:val="24"/>
        </w:rPr>
        <w:t xml:space="preserve">and that – despite the </w:t>
      </w:r>
      <w:r w:rsidR="00CA28C6">
        <w:rPr>
          <w:rFonts w:ascii="Arial" w:hAnsi="Arial"/>
          <w:sz w:val="24"/>
          <w:szCs w:val="24"/>
        </w:rPr>
        <w:t>public policy commitment cited in para.1.9</w:t>
      </w:r>
      <w:r w:rsidR="0070397E">
        <w:rPr>
          <w:rFonts w:ascii="Arial" w:hAnsi="Arial"/>
          <w:sz w:val="24"/>
          <w:szCs w:val="24"/>
        </w:rPr>
        <w:t xml:space="preserve"> of the </w:t>
      </w:r>
      <w:r w:rsidR="0070397E" w:rsidRPr="0070397E">
        <w:rPr>
          <w:rFonts w:ascii="Arial" w:hAnsi="Arial"/>
          <w:i/>
          <w:iCs/>
          <w:sz w:val="24"/>
          <w:szCs w:val="24"/>
        </w:rPr>
        <w:t xml:space="preserve">Consultation </w:t>
      </w:r>
      <w:r w:rsidR="00CA28C6" w:rsidRPr="0070397E">
        <w:rPr>
          <w:rFonts w:ascii="Arial" w:hAnsi="Arial"/>
          <w:i/>
          <w:iCs/>
          <w:sz w:val="24"/>
          <w:szCs w:val="24"/>
        </w:rPr>
        <w:t xml:space="preserve"> </w:t>
      </w:r>
      <w:r w:rsidR="00A248D3">
        <w:rPr>
          <w:rFonts w:ascii="Arial" w:hAnsi="Arial"/>
          <w:sz w:val="24"/>
          <w:szCs w:val="24"/>
        </w:rPr>
        <w:t>–</w:t>
      </w:r>
      <w:r w:rsidR="00CA28C6">
        <w:rPr>
          <w:rFonts w:ascii="Arial" w:hAnsi="Arial"/>
          <w:sz w:val="24"/>
          <w:szCs w:val="24"/>
        </w:rPr>
        <w:t xml:space="preserve"> </w:t>
      </w:r>
      <w:r w:rsidR="00A248D3">
        <w:rPr>
          <w:rFonts w:ascii="Arial" w:hAnsi="Arial"/>
          <w:sz w:val="24"/>
          <w:szCs w:val="24"/>
        </w:rPr>
        <w:t>private finance will be used to meet the funding gap</w:t>
      </w:r>
      <w:r w:rsidR="00C45B64">
        <w:rPr>
          <w:rFonts w:ascii="Arial" w:hAnsi="Arial"/>
          <w:sz w:val="24"/>
          <w:szCs w:val="24"/>
        </w:rPr>
        <w:t xml:space="preserve"> that is likely to</w:t>
      </w:r>
      <w:r w:rsidR="003850FF">
        <w:rPr>
          <w:rFonts w:ascii="Arial" w:hAnsi="Arial"/>
          <w:sz w:val="24"/>
          <w:szCs w:val="24"/>
        </w:rPr>
        <w:t xml:space="preserve"> involve </w:t>
      </w:r>
      <w:r w:rsidR="00FB299F">
        <w:rPr>
          <w:rFonts w:ascii="Arial" w:hAnsi="Arial"/>
          <w:sz w:val="24"/>
          <w:szCs w:val="24"/>
        </w:rPr>
        <w:t xml:space="preserve">net </w:t>
      </w:r>
      <w:r w:rsidR="003850FF">
        <w:rPr>
          <w:rFonts w:ascii="Arial" w:hAnsi="Arial"/>
          <w:sz w:val="24"/>
          <w:szCs w:val="24"/>
        </w:rPr>
        <w:t xml:space="preserve">higher public costs </w:t>
      </w:r>
      <w:r w:rsidR="00FB299F">
        <w:rPr>
          <w:rFonts w:ascii="Arial" w:hAnsi="Arial"/>
          <w:sz w:val="24"/>
          <w:szCs w:val="24"/>
        </w:rPr>
        <w:t xml:space="preserve">and hence public debt and borrowing </w:t>
      </w:r>
      <w:r w:rsidR="003850FF">
        <w:rPr>
          <w:rFonts w:ascii="Arial" w:hAnsi="Arial"/>
          <w:sz w:val="24"/>
          <w:szCs w:val="24"/>
        </w:rPr>
        <w:t>over project life</w:t>
      </w:r>
      <w:r w:rsidR="00FB299F">
        <w:rPr>
          <w:rFonts w:ascii="Arial" w:hAnsi="Arial"/>
          <w:sz w:val="24"/>
          <w:szCs w:val="24"/>
        </w:rPr>
        <w:t>times</w:t>
      </w:r>
      <w:r w:rsidR="006431C9">
        <w:rPr>
          <w:rFonts w:ascii="Arial" w:hAnsi="Arial"/>
          <w:sz w:val="24"/>
          <w:szCs w:val="24"/>
        </w:rPr>
        <w:t>,</w:t>
      </w:r>
      <w:r w:rsidR="00A542CD">
        <w:rPr>
          <w:rFonts w:ascii="Arial" w:hAnsi="Arial"/>
          <w:sz w:val="24"/>
          <w:szCs w:val="24"/>
        </w:rPr>
        <w:t xml:space="preserve"> and/or hidden taxes and charges on consumers</w:t>
      </w:r>
      <w:r w:rsidR="006431C9">
        <w:rPr>
          <w:rFonts w:ascii="Arial" w:hAnsi="Arial"/>
          <w:sz w:val="24"/>
          <w:szCs w:val="24"/>
        </w:rPr>
        <w:t xml:space="preserve"> </w:t>
      </w:r>
      <w:r w:rsidR="00273E1B">
        <w:rPr>
          <w:rFonts w:ascii="Arial" w:hAnsi="Arial"/>
          <w:sz w:val="24"/>
          <w:szCs w:val="24"/>
        </w:rPr>
        <w:t xml:space="preserve">with </w:t>
      </w:r>
      <w:r w:rsidR="00A542CD">
        <w:rPr>
          <w:rFonts w:ascii="Arial" w:hAnsi="Arial"/>
          <w:sz w:val="24"/>
          <w:szCs w:val="24"/>
        </w:rPr>
        <w:t xml:space="preserve">regressive </w:t>
      </w:r>
      <w:r w:rsidR="00273E1B">
        <w:rPr>
          <w:rFonts w:ascii="Arial" w:hAnsi="Arial"/>
          <w:sz w:val="24"/>
          <w:szCs w:val="24"/>
        </w:rPr>
        <w:t>incidence on household budgets</w:t>
      </w:r>
      <w:r w:rsidR="00F80658">
        <w:rPr>
          <w:rFonts w:ascii="Arial" w:hAnsi="Arial"/>
          <w:sz w:val="24"/>
          <w:szCs w:val="24"/>
        </w:rPr>
        <w:t>.</w:t>
      </w:r>
      <w:bookmarkStart w:id="0" w:name="_GoBack"/>
      <w:bookmarkEnd w:id="0"/>
    </w:p>
    <w:p w14:paraId="5887D157" w14:textId="77777777" w:rsidR="008D7001" w:rsidRDefault="00F42FD2" w:rsidP="6F9A4702">
      <w:pPr>
        <w:spacing w:after="390" w:line="240" w:lineRule="auto"/>
        <w:rPr>
          <w:rFonts w:ascii="Arial" w:hAnsi="Arial"/>
          <w:sz w:val="24"/>
          <w:szCs w:val="24"/>
        </w:rPr>
      </w:pPr>
      <w:r w:rsidRPr="00283202">
        <w:rPr>
          <w:rFonts w:ascii="Arial" w:hAnsi="Arial"/>
          <w:i/>
          <w:iCs/>
          <w:sz w:val="24"/>
          <w:szCs w:val="24"/>
        </w:rPr>
        <w:t xml:space="preserve">Section 2 </w:t>
      </w:r>
      <w:r>
        <w:rPr>
          <w:rFonts w:ascii="Arial" w:hAnsi="Arial"/>
          <w:sz w:val="24"/>
          <w:szCs w:val="24"/>
        </w:rPr>
        <w:t>of this submission explains</w:t>
      </w:r>
      <w:r w:rsidR="008D7001">
        <w:rPr>
          <w:rFonts w:ascii="Arial" w:hAnsi="Arial"/>
          <w:sz w:val="24"/>
          <w:szCs w:val="24"/>
        </w:rPr>
        <w:t>,</w:t>
      </w:r>
      <w:r>
        <w:rPr>
          <w:rFonts w:ascii="Arial" w:hAnsi="Arial"/>
          <w:sz w:val="24"/>
          <w:szCs w:val="24"/>
        </w:rPr>
        <w:t xml:space="preserve"> </w:t>
      </w:r>
      <w:r w:rsidR="008D7001" w:rsidRPr="008D7001">
        <w:rPr>
          <w:rFonts w:ascii="Arial" w:hAnsi="Arial"/>
          <w:sz w:val="24"/>
          <w:szCs w:val="24"/>
        </w:rPr>
        <w:t>in more detail</w:t>
      </w:r>
      <w:r w:rsidR="008D7001">
        <w:rPr>
          <w:rFonts w:ascii="Arial" w:hAnsi="Arial"/>
          <w:sz w:val="24"/>
          <w:szCs w:val="24"/>
        </w:rPr>
        <w:t>,</w:t>
      </w:r>
      <w:r w:rsidR="008D7001" w:rsidRPr="008D7001">
        <w:rPr>
          <w:rFonts w:ascii="Arial" w:hAnsi="Arial"/>
          <w:sz w:val="24"/>
          <w:szCs w:val="24"/>
        </w:rPr>
        <w:t xml:space="preserve"> </w:t>
      </w:r>
      <w:r w:rsidR="004E37B0">
        <w:rPr>
          <w:rFonts w:ascii="Arial" w:hAnsi="Arial"/>
          <w:sz w:val="24"/>
          <w:szCs w:val="24"/>
        </w:rPr>
        <w:t>why the essential purpose of th</w:t>
      </w:r>
      <w:r w:rsidR="008D7001">
        <w:rPr>
          <w:rFonts w:ascii="Arial" w:hAnsi="Arial"/>
          <w:sz w:val="24"/>
          <w:szCs w:val="24"/>
        </w:rPr>
        <w:t>e</w:t>
      </w:r>
      <w:r w:rsidR="004E37B0">
        <w:rPr>
          <w:rFonts w:ascii="Arial" w:hAnsi="Arial"/>
          <w:sz w:val="24"/>
          <w:szCs w:val="24"/>
        </w:rPr>
        <w:t xml:space="preserve"> </w:t>
      </w:r>
      <w:r w:rsidR="008D7001" w:rsidRPr="008D7001">
        <w:rPr>
          <w:rFonts w:ascii="Arial" w:hAnsi="Arial"/>
          <w:i/>
          <w:iCs/>
          <w:sz w:val="24"/>
          <w:szCs w:val="24"/>
        </w:rPr>
        <w:t>C</w:t>
      </w:r>
      <w:r w:rsidR="004E37B0" w:rsidRPr="008D7001">
        <w:rPr>
          <w:rFonts w:ascii="Arial" w:hAnsi="Arial"/>
          <w:i/>
          <w:iCs/>
          <w:sz w:val="24"/>
          <w:szCs w:val="24"/>
        </w:rPr>
        <w:t xml:space="preserve">onsultation </w:t>
      </w:r>
      <w:r w:rsidR="004E37B0">
        <w:rPr>
          <w:rFonts w:ascii="Arial" w:hAnsi="Arial"/>
          <w:sz w:val="24"/>
          <w:szCs w:val="24"/>
        </w:rPr>
        <w:t xml:space="preserve">depends </w:t>
      </w:r>
      <w:r w:rsidR="004821CC">
        <w:rPr>
          <w:rFonts w:ascii="Arial" w:hAnsi="Arial"/>
          <w:sz w:val="24"/>
          <w:szCs w:val="24"/>
        </w:rPr>
        <w:t xml:space="preserve">on ending the discrimination against </w:t>
      </w:r>
      <w:r w:rsidR="009B13CA">
        <w:rPr>
          <w:rFonts w:ascii="Arial" w:hAnsi="Arial"/>
          <w:sz w:val="24"/>
          <w:szCs w:val="24"/>
        </w:rPr>
        <w:t xml:space="preserve">public investment within the current </w:t>
      </w:r>
      <w:r w:rsidR="00F25865">
        <w:rPr>
          <w:rFonts w:ascii="Arial" w:hAnsi="Arial"/>
          <w:sz w:val="24"/>
          <w:szCs w:val="24"/>
        </w:rPr>
        <w:t xml:space="preserve">unitary </w:t>
      </w:r>
      <w:r w:rsidR="009B13CA">
        <w:rPr>
          <w:rFonts w:ascii="Arial" w:hAnsi="Arial"/>
          <w:sz w:val="24"/>
          <w:szCs w:val="24"/>
        </w:rPr>
        <w:t>cash- based</w:t>
      </w:r>
      <w:r w:rsidR="00F25865">
        <w:rPr>
          <w:rFonts w:ascii="Arial" w:hAnsi="Arial"/>
          <w:sz w:val="24"/>
          <w:szCs w:val="24"/>
        </w:rPr>
        <w:t xml:space="preserve"> fiscal framework</w:t>
      </w:r>
      <w:r w:rsidR="008D7001">
        <w:rPr>
          <w:rFonts w:ascii="Arial" w:hAnsi="Arial"/>
          <w:sz w:val="24"/>
          <w:szCs w:val="24"/>
        </w:rPr>
        <w:t>,</w:t>
      </w:r>
    </w:p>
    <w:p w14:paraId="577246C8" w14:textId="1BA06CA8" w:rsidR="00F42FD2" w:rsidRDefault="008D7001" w:rsidP="6F9A4702">
      <w:pPr>
        <w:spacing w:after="390" w:line="240" w:lineRule="auto"/>
        <w:rPr>
          <w:rFonts w:ascii="Arial" w:hAnsi="Arial"/>
          <w:sz w:val="24"/>
          <w:szCs w:val="24"/>
        </w:rPr>
      </w:pPr>
      <w:r>
        <w:rPr>
          <w:rFonts w:ascii="Arial" w:hAnsi="Arial"/>
          <w:sz w:val="24"/>
          <w:szCs w:val="24"/>
        </w:rPr>
        <w:t>It</w:t>
      </w:r>
      <w:r w:rsidR="00510D9B">
        <w:rPr>
          <w:rFonts w:ascii="Arial" w:hAnsi="Arial"/>
          <w:sz w:val="24"/>
          <w:szCs w:val="24"/>
        </w:rPr>
        <w:t xml:space="preserve"> </w:t>
      </w:r>
      <w:r w:rsidR="005B7671">
        <w:rPr>
          <w:rFonts w:ascii="Arial" w:hAnsi="Arial"/>
          <w:sz w:val="24"/>
          <w:szCs w:val="24"/>
        </w:rPr>
        <w:t xml:space="preserve">also </w:t>
      </w:r>
      <w:r w:rsidR="00510D9B">
        <w:rPr>
          <w:rFonts w:ascii="Arial" w:hAnsi="Arial"/>
          <w:sz w:val="24"/>
          <w:szCs w:val="24"/>
        </w:rPr>
        <w:t>put</w:t>
      </w:r>
      <w:r>
        <w:rPr>
          <w:rFonts w:ascii="Arial" w:hAnsi="Arial"/>
          <w:sz w:val="24"/>
          <w:szCs w:val="24"/>
        </w:rPr>
        <w:t>s</w:t>
      </w:r>
      <w:r w:rsidR="00510D9B">
        <w:rPr>
          <w:rFonts w:ascii="Arial" w:hAnsi="Arial"/>
          <w:sz w:val="24"/>
          <w:szCs w:val="24"/>
        </w:rPr>
        <w:t xml:space="preserve"> the development of the fiscal rule framework into historical, political</w:t>
      </w:r>
      <w:r w:rsidR="00C125EF">
        <w:rPr>
          <w:rFonts w:ascii="Arial" w:hAnsi="Arial"/>
          <w:sz w:val="24"/>
          <w:szCs w:val="24"/>
        </w:rPr>
        <w:t xml:space="preserve">, and economic context. </w:t>
      </w:r>
    </w:p>
    <w:p w14:paraId="20D8A5E6" w14:textId="77777777" w:rsidR="004160F2" w:rsidRDefault="00F25865" w:rsidP="6F9A4702">
      <w:pPr>
        <w:spacing w:after="390" w:line="240" w:lineRule="auto"/>
        <w:rPr>
          <w:rFonts w:ascii="Arial" w:hAnsi="Arial"/>
          <w:sz w:val="24"/>
          <w:szCs w:val="24"/>
        </w:rPr>
      </w:pPr>
      <w:r w:rsidRPr="00283202">
        <w:rPr>
          <w:rFonts w:ascii="Arial" w:hAnsi="Arial"/>
          <w:i/>
          <w:iCs/>
          <w:sz w:val="24"/>
          <w:szCs w:val="24"/>
        </w:rPr>
        <w:t>Section 5</w:t>
      </w:r>
      <w:r w:rsidR="0042077E">
        <w:rPr>
          <w:rFonts w:ascii="Arial" w:hAnsi="Arial"/>
          <w:sz w:val="24"/>
          <w:szCs w:val="24"/>
        </w:rPr>
        <w:t xml:space="preserve"> </w:t>
      </w:r>
      <w:r w:rsidR="00283202">
        <w:rPr>
          <w:rFonts w:ascii="Arial" w:hAnsi="Arial"/>
          <w:sz w:val="24"/>
          <w:szCs w:val="24"/>
        </w:rPr>
        <w:t xml:space="preserve">examines the </w:t>
      </w:r>
      <w:r w:rsidR="00676764">
        <w:rPr>
          <w:rFonts w:ascii="Arial" w:hAnsi="Arial"/>
          <w:sz w:val="24"/>
          <w:szCs w:val="24"/>
        </w:rPr>
        <w:t xml:space="preserve">issues and factors affecting the </w:t>
      </w:r>
      <w:r w:rsidR="00283202">
        <w:rPr>
          <w:rFonts w:ascii="Arial" w:hAnsi="Arial"/>
          <w:sz w:val="24"/>
          <w:szCs w:val="24"/>
        </w:rPr>
        <w:t xml:space="preserve">relationship between </w:t>
      </w:r>
      <w:r w:rsidR="00EE78C6">
        <w:rPr>
          <w:rFonts w:ascii="Arial" w:hAnsi="Arial"/>
          <w:sz w:val="24"/>
          <w:szCs w:val="24"/>
        </w:rPr>
        <w:t xml:space="preserve">the </w:t>
      </w:r>
      <w:r w:rsidR="00BE7306">
        <w:rPr>
          <w:rFonts w:ascii="Arial" w:hAnsi="Arial"/>
          <w:sz w:val="24"/>
          <w:szCs w:val="24"/>
        </w:rPr>
        <w:t>contractual form and envelope</w:t>
      </w:r>
      <w:r w:rsidR="00EE78C6">
        <w:rPr>
          <w:rFonts w:ascii="Arial" w:hAnsi="Arial"/>
          <w:sz w:val="24"/>
          <w:szCs w:val="24"/>
        </w:rPr>
        <w:t xml:space="preserve"> of </w:t>
      </w:r>
      <w:r w:rsidR="00BE7306">
        <w:rPr>
          <w:rFonts w:ascii="Arial" w:hAnsi="Arial"/>
          <w:sz w:val="24"/>
          <w:szCs w:val="24"/>
        </w:rPr>
        <w:t>conventional</w:t>
      </w:r>
      <w:r w:rsidR="00EE78C6">
        <w:rPr>
          <w:rFonts w:ascii="Arial" w:hAnsi="Arial"/>
          <w:sz w:val="24"/>
          <w:szCs w:val="24"/>
        </w:rPr>
        <w:t xml:space="preserve"> and</w:t>
      </w:r>
      <w:r w:rsidR="00BE7306">
        <w:rPr>
          <w:rFonts w:ascii="Arial" w:hAnsi="Arial"/>
          <w:sz w:val="24"/>
          <w:szCs w:val="24"/>
        </w:rPr>
        <w:t xml:space="preserve"> PPP</w:t>
      </w:r>
      <w:r w:rsidR="00EE78C6">
        <w:rPr>
          <w:rFonts w:ascii="Arial" w:hAnsi="Arial"/>
          <w:sz w:val="24"/>
          <w:szCs w:val="24"/>
        </w:rPr>
        <w:t xml:space="preserve"> contracts</w:t>
      </w:r>
      <w:r w:rsidR="00283202">
        <w:rPr>
          <w:rFonts w:ascii="Arial" w:hAnsi="Arial"/>
          <w:sz w:val="24"/>
          <w:szCs w:val="24"/>
        </w:rPr>
        <w:t xml:space="preserve"> and</w:t>
      </w:r>
      <w:r w:rsidR="00283202" w:rsidRPr="00283202">
        <w:rPr>
          <w:rFonts w:ascii="Arial" w:hAnsi="Arial"/>
          <w:sz w:val="24"/>
          <w:szCs w:val="24"/>
        </w:rPr>
        <w:t xml:space="preserve"> </w:t>
      </w:r>
      <w:r w:rsidR="00283202">
        <w:rPr>
          <w:rFonts w:ascii="Arial" w:hAnsi="Arial"/>
          <w:sz w:val="24"/>
          <w:szCs w:val="24"/>
        </w:rPr>
        <w:t>the achievement of whole-project efficiency</w:t>
      </w:r>
      <w:r w:rsidR="004160F2">
        <w:rPr>
          <w:rFonts w:ascii="Arial" w:hAnsi="Arial"/>
          <w:sz w:val="24"/>
          <w:szCs w:val="24"/>
        </w:rPr>
        <w:t>.</w:t>
      </w:r>
    </w:p>
    <w:p w14:paraId="3DD9759D" w14:textId="19AB0C50" w:rsidR="00F25865" w:rsidRDefault="004160F2" w:rsidP="6F9A4702">
      <w:pPr>
        <w:spacing w:after="390" w:line="240" w:lineRule="auto"/>
        <w:rPr>
          <w:rFonts w:ascii="Arial" w:hAnsi="Arial"/>
          <w:sz w:val="24"/>
          <w:szCs w:val="24"/>
        </w:rPr>
      </w:pPr>
      <w:r>
        <w:rPr>
          <w:rFonts w:ascii="Arial" w:hAnsi="Arial"/>
          <w:sz w:val="24"/>
          <w:szCs w:val="24"/>
        </w:rPr>
        <w:t>T</w:t>
      </w:r>
      <w:r w:rsidR="00BE7306">
        <w:rPr>
          <w:rFonts w:ascii="Arial" w:hAnsi="Arial"/>
          <w:sz w:val="24"/>
          <w:szCs w:val="24"/>
        </w:rPr>
        <w:t xml:space="preserve">he lessons </w:t>
      </w:r>
      <w:r w:rsidR="00CD65BC">
        <w:rPr>
          <w:rFonts w:ascii="Arial" w:hAnsi="Arial"/>
          <w:sz w:val="24"/>
          <w:szCs w:val="24"/>
        </w:rPr>
        <w:t>learnt from</w:t>
      </w:r>
      <w:r w:rsidR="00BE7306">
        <w:rPr>
          <w:rFonts w:ascii="Arial" w:hAnsi="Arial"/>
          <w:sz w:val="24"/>
          <w:szCs w:val="24"/>
        </w:rPr>
        <w:t xml:space="preserve"> </w:t>
      </w:r>
      <w:r w:rsidR="00A11B10">
        <w:rPr>
          <w:rFonts w:ascii="Arial" w:hAnsi="Arial"/>
          <w:sz w:val="24"/>
          <w:szCs w:val="24"/>
        </w:rPr>
        <w:t xml:space="preserve">nearly three decades </w:t>
      </w:r>
      <w:r w:rsidR="00CD65BC">
        <w:rPr>
          <w:rFonts w:ascii="Arial" w:hAnsi="Arial"/>
          <w:sz w:val="24"/>
          <w:szCs w:val="24"/>
        </w:rPr>
        <w:t xml:space="preserve">use of </w:t>
      </w:r>
      <w:r w:rsidR="00A11B10">
        <w:rPr>
          <w:rFonts w:ascii="Arial" w:hAnsi="Arial"/>
          <w:sz w:val="24"/>
          <w:szCs w:val="24"/>
        </w:rPr>
        <w:t>PFI</w:t>
      </w:r>
      <w:r>
        <w:rPr>
          <w:rFonts w:ascii="Arial" w:hAnsi="Arial"/>
          <w:sz w:val="24"/>
          <w:szCs w:val="24"/>
        </w:rPr>
        <w:t xml:space="preserve"> </w:t>
      </w:r>
      <w:r w:rsidR="00AB2F66">
        <w:rPr>
          <w:rFonts w:ascii="Arial" w:hAnsi="Arial"/>
          <w:sz w:val="24"/>
          <w:szCs w:val="24"/>
        </w:rPr>
        <w:t xml:space="preserve">are tabulated and summarized in </w:t>
      </w:r>
      <w:r w:rsidR="00AB2F66" w:rsidRPr="002E0199">
        <w:rPr>
          <w:rFonts w:ascii="Arial" w:hAnsi="Arial"/>
          <w:i/>
          <w:iCs/>
          <w:sz w:val="24"/>
          <w:szCs w:val="24"/>
        </w:rPr>
        <w:t>Table 1</w:t>
      </w:r>
      <w:r w:rsidR="00AB2F66">
        <w:rPr>
          <w:rFonts w:ascii="Arial" w:hAnsi="Arial"/>
          <w:sz w:val="24"/>
          <w:szCs w:val="24"/>
        </w:rPr>
        <w:t xml:space="preserve">. </w:t>
      </w:r>
      <w:r w:rsidR="00A11B10">
        <w:rPr>
          <w:rFonts w:ascii="Arial" w:hAnsi="Arial"/>
          <w:sz w:val="24"/>
          <w:szCs w:val="24"/>
        </w:rPr>
        <w:t xml:space="preserve"> </w:t>
      </w:r>
      <w:r w:rsidR="00BE7306">
        <w:rPr>
          <w:rFonts w:ascii="Arial" w:hAnsi="Arial"/>
          <w:sz w:val="24"/>
          <w:szCs w:val="24"/>
        </w:rPr>
        <w:t xml:space="preserve"> </w:t>
      </w:r>
    </w:p>
    <w:p w14:paraId="6C538D6E" w14:textId="543B47BA" w:rsidR="00283202" w:rsidRPr="004160F2" w:rsidRDefault="0013454D" w:rsidP="6F9A4702">
      <w:pPr>
        <w:spacing w:after="390" w:line="240" w:lineRule="auto"/>
        <w:rPr>
          <w:rFonts w:ascii="Arial" w:hAnsi="Arial"/>
          <w:i/>
          <w:iCs/>
          <w:sz w:val="24"/>
          <w:szCs w:val="24"/>
        </w:rPr>
      </w:pPr>
      <w:r>
        <w:rPr>
          <w:rFonts w:ascii="Arial" w:hAnsi="Arial"/>
          <w:sz w:val="24"/>
          <w:szCs w:val="24"/>
        </w:rPr>
        <w:t xml:space="preserve">The conclusions of both sections are distilled into </w:t>
      </w:r>
      <w:r w:rsidRPr="004160F2">
        <w:rPr>
          <w:rFonts w:ascii="Arial" w:hAnsi="Arial"/>
          <w:i/>
          <w:iCs/>
          <w:sz w:val="24"/>
          <w:szCs w:val="24"/>
        </w:rPr>
        <w:t>Recommendations 1-5.</w:t>
      </w:r>
    </w:p>
    <w:p w14:paraId="48EBC8AA" w14:textId="76CFA8DE" w:rsidR="00E01B39" w:rsidRPr="000746BF" w:rsidRDefault="00F73CB9" w:rsidP="6F9A4702">
      <w:pPr>
        <w:spacing w:after="390" w:line="240" w:lineRule="auto"/>
        <w:rPr>
          <w:rFonts w:ascii="Arial" w:hAnsi="Arial"/>
          <w:sz w:val="24"/>
          <w:szCs w:val="24"/>
          <w:u w:val="single"/>
        </w:rPr>
      </w:pPr>
      <w:r>
        <w:rPr>
          <w:rFonts w:ascii="Arial" w:hAnsi="Arial"/>
          <w:sz w:val="24"/>
          <w:szCs w:val="24"/>
          <w:u w:val="single"/>
        </w:rPr>
        <w:t>R</w:t>
      </w:r>
      <w:r w:rsidR="000746BF" w:rsidRPr="000746BF">
        <w:rPr>
          <w:rFonts w:ascii="Arial" w:hAnsi="Arial"/>
          <w:sz w:val="24"/>
          <w:szCs w:val="24"/>
          <w:u w:val="single"/>
        </w:rPr>
        <w:t xml:space="preserve">eform </w:t>
      </w:r>
      <w:r>
        <w:rPr>
          <w:rFonts w:ascii="Arial" w:hAnsi="Arial"/>
          <w:sz w:val="24"/>
          <w:szCs w:val="24"/>
          <w:u w:val="single"/>
        </w:rPr>
        <w:t>of the fiscal treatment of investment</w:t>
      </w:r>
    </w:p>
    <w:p w14:paraId="1DF6DD4E" w14:textId="77777777" w:rsidR="00A12851" w:rsidRDefault="007E0A76" w:rsidP="6F9A4702">
      <w:pPr>
        <w:spacing w:after="390" w:line="240" w:lineRule="auto"/>
        <w:rPr>
          <w:rFonts w:ascii="Arial" w:hAnsi="Arial"/>
          <w:sz w:val="24"/>
          <w:szCs w:val="24"/>
        </w:rPr>
      </w:pPr>
      <w:r w:rsidRPr="006A7A69">
        <w:rPr>
          <w:rFonts w:ascii="Arial" w:hAnsi="Arial"/>
          <w:sz w:val="24"/>
          <w:szCs w:val="24"/>
        </w:rPr>
        <w:t>An in-built institutional bias against investment remains built-in within the public expenditure system. This results in under-investment.</w:t>
      </w:r>
    </w:p>
    <w:p w14:paraId="2B61E6F2" w14:textId="580446DB" w:rsidR="007E0A76" w:rsidRPr="006A7A69" w:rsidRDefault="007E0A76" w:rsidP="6F9A4702">
      <w:pPr>
        <w:spacing w:after="390" w:line="240" w:lineRule="auto"/>
        <w:rPr>
          <w:rFonts w:ascii="Arial" w:hAnsi="Arial"/>
          <w:sz w:val="24"/>
          <w:szCs w:val="24"/>
        </w:rPr>
      </w:pPr>
      <w:r w:rsidRPr="006A7A69">
        <w:rPr>
          <w:rFonts w:ascii="Arial" w:hAnsi="Arial"/>
          <w:sz w:val="24"/>
          <w:szCs w:val="24"/>
        </w:rPr>
        <w:t>A recent case in point is the paring of the upgradation of the Trans-Pennine line, losing the Greater Manchester and West Yorkshire regions substantial potential growth and productivity gains</w:t>
      </w:r>
      <w:r w:rsidR="00FD5934" w:rsidRPr="006A7A69">
        <w:rPr>
          <w:rFonts w:ascii="Arial" w:hAnsi="Arial"/>
          <w:sz w:val="24"/>
          <w:szCs w:val="24"/>
        </w:rPr>
        <w:t>.</w:t>
      </w:r>
    </w:p>
    <w:p w14:paraId="35BA730B" w14:textId="0228ADF2" w:rsidR="00FD5934" w:rsidRPr="006A7A69" w:rsidRDefault="001252FF" w:rsidP="6F9A4702">
      <w:pPr>
        <w:spacing w:after="390" w:line="240" w:lineRule="auto"/>
        <w:rPr>
          <w:rFonts w:ascii="Arial" w:hAnsi="Arial"/>
          <w:sz w:val="24"/>
          <w:szCs w:val="24"/>
        </w:rPr>
      </w:pPr>
      <w:r w:rsidRPr="006A7A69">
        <w:rPr>
          <w:rFonts w:ascii="Arial" w:hAnsi="Arial"/>
          <w:sz w:val="24"/>
          <w:szCs w:val="24"/>
        </w:rPr>
        <w:t>The N</w:t>
      </w:r>
      <w:r w:rsidR="005F4599">
        <w:rPr>
          <w:rFonts w:ascii="Arial" w:hAnsi="Arial"/>
          <w:sz w:val="24"/>
          <w:szCs w:val="24"/>
        </w:rPr>
        <w:t>IC</w:t>
      </w:r>
      <w:r w:rsidRPr="006A7A69">
        <w:rPr>
          <w:rFonts w:ascii="Arial" w:hAnsi="Arial"/>
          <w:sz w:val="24"/>
          <w:szCs w:val="24"/>
        </w:rPr>
        <w:t xml:space="preserve"> is hamstrung by its Fiscal Remit</w:t>
      </w:r>
      <w:r w:rsidR="00AB6CF8">
        <w:rPr>
          <w:rFonts w:ascii="Arial" w:hAnsi="Arial"/>
          <w:sz w:val="24"/>
          <w:szCs w:val="24"/>
        </w:rPr>
        <w:t>. It</w:t>
      </w:r>
      <w:r w:rsidR="00E11489" w:rsidRPr="006A7A69">
        <w:rPr>
          <w:rFonts w:ascii="Arial" w:hAnsi="Arial"/>
          <w:sz w:val="24"/>
          <w:szCs w:val="24"/>
        </w:rPr>
        <w:t xml:space="preserve"> bears no necessary and actual relationship with the needs of the wider economy and society for economic and social infrastructural investment.</w:t>
      </w:r>
      <w:r w:rsidR="00081C5C" w:rsidRPr="006A7A69">
        <w:rPr>
          <w:rFonts w:ascii="Arial" w:hAnsi="Arial"/>
          <w:sz w:val="24"/>
          <w:szCs w:val="24"/>
        </w:rPr>
        <w:t xml:space="preserve"> </w:t>
      </w:r>
    </w:p>
    <w:p w14:paraId="064D67A8" w14:textId="632664A3" w:rsidR="00C90C03" w:rsidRDefault="00C90C03" w:rsidP="00C90C03">
      <w:pPr>
        <w:spacing w:after="390" w:line="240" w:lineRule="auto"/>
        <w:rPr>
          <w:rFonts w:ascii="Arial" w:hAnsi="Arial"/>
          <w:sz w:val="24"/>
          <w:szCs w:val="24"/>
        </w:rPr>
      </w:pPr>
      <w:r w:rsidRPr="00CA217C">
        <w:rPr>
          <w:rFonts w:ascii="Arial" w:hAnsi="Arial"/>
          <w:sz w:val="24"/>
          <w:szCs w:val="24"/>
        </w:rPr>
        <w:lastRenderedPageBreak/>
        <w:t xml:space="preserve">It </w:t>
      </w:r>
      <w:r>
        <w:rPr>
          <w:rFonts w:ascii="Arial" w:hAnsi="Arial"/>
          <w:sz w:val="24"/>
          <w:szCs w:val="24"/>
        </w:rPr>
        <w:t xml:space="preserve">was </w:t>
      </w:r>
      <w:r w:rsidRPr="00CA217C">
        <w:rPr>
          <w:rFonts w:ascii="Arial" w:hAnsi="Arial"/>
          <w:sz w:val="24"/>
          <w:szCs w:val="24"/>
        </w:rPr>
        <w:t>set rather by the imperative to meet a blunt unitary fiscal target that lumps together recurrent annual recurrent with investment expenditure</w:t>
      </w:r>
      <w:r w:rsidR="00853A8F">
        <w:rPr>
          <w:rFonts w:ascii="Arial" w:hAnsi="Arial"/>
          <w:sz w:val="24"/>
          <w:szCs w:val="24"/>
        </w:rPr>
        <w:t xml:space="preserve"> outlays</w:t>
      </w:r>
      <w:r w:rsidR="00632927">
        <w:rPr>
          <w:rFonts w:ascii="Arial" w:hAnsi="Arial"/>
          <w:sz w:val="24"/>
          <w:szCs w:val="24"/>
        </w:rPr>
        <w:t>. In</w:t>
      </w:r>
      <w:r w:rsidR="00440791">
        <w:rPr>
          <w:rFonts w:ascii="Arial" w:hAnsi="Arial"/>
          <w:sz w:val="24"/>
          <w:szCs w:val="24"/>
        </w:rPr>
        <w:t>v</w:t>
      </w:r>
      <w:r w:rsidR="00EF66DB">
        <w:rPr>
          <w:rFonts w:ascii="Arial" w:hAnsi="Arial"/>
          <w:sz w:val="24"/>
          <w:szCs w:val="24"/>
        </w:rPr>
        <w:t>estment</w:t>
      </w:r>
      <w:r w:rsidR="00632927">
        <w:rPr>
          <w:rFonts w:ascii="Arial" w:hAnsi="Arial"/>
          <w:sz w:val="24"/>
          <w:szCs w:val="24"/>
        </w:rPr>
        <w:t xml:space="preserve"> costs are </w:t>
      </w:r>
      <w:r w:rsidRPr="00CA217C">
        <w:rPr>
          <w:rFonts w:ascii="Arial" w:hAnsi="Arial"/>
          <w:sz w:val="24"/>
          <w:szCs w:val="24"/>
        </w:rPr>
        <w:t>concentrated in the short-term</w:t>
      </w:r>
      <w:r>
        <w:rPr>
          <w:rFonts w:ascii="Arial" w:hAnsi="Arial"/>
          <w:sz w:val="24"/>
          <w:szCs w:val="24"/>
        </w:rPr>
        <w:t xml:space="preserve"> </w:t>
      </w:r>
      <w:r w:rsidR="00632927">
        <w:rPr>
          <w:rFonts w:ascii="Arial" w:hAnsi="Arial"/>
          <w:sz w:val="24"/>
          <w:szCs w:val="24"/>
        </w:rPr>
        <w:t xml:space="preserve">but </w:t>
      </w:r>
      <w:r w:rsidRPr="00CA217C">
        <w:rPr>
          <w:rFonts w:ascii="Arial" w:hAnsi="Arial"/>
          <w:sz w:val="24"/>
          <w:szCs w:val="24"/>
        </w:rPr>
        <w:t xml:space="preserve">bequeath long-term economic benefits.   </w:t>
      </w:r>
    </w:p>
    <w:p w14:paraId="619824B5" w14:textId="282EBE0B" w:rsidR="000526A5" w:rsidRDefault="00941128" w:rsidP="08DD1E8B">
      <w:pPr>
        <w:spacing w:after="390" w:line="240" w:lineRule="auto"/>
        <w:rPr>
          <w:rFonts w:ascii="Arial" w:hAnsi="Arial"/>
          <w:sz w:val="24"/>
          <w:szCs w:val="24"/>
        </w:rPr>
      </w:pPr>
      <w:r w:rsidRPr="00941128">
        <w:rPr>
          <w:rFonts w:ascii="Arial" w:hAnsi="Arial"/>
          <w:i/>
          <w:iCs/>
          <w:sz w:val="24"/>
          <w:szCs w:val="24"/>
        </w:rPr>
        <w:t>R</w:t>
      </w:r>
      <w:r w:rsidR="005E54D0" w:rsidRPr="00941128">
        <w:rPr>
          <w:rFonts w:ascii="Arial" w:hAnsi="Arial"/>
          <w:i/>
          <w:iCs/>
          <w:sz w:val="24"/>
          <w:szCs w:val="24"/>
        </w:rPr>
        <w:t>ecommendations</w:t>
      </w:r>
      <w:r w:rsidRPr="00941128">
        <w:rPr>
          <w:rFonts w:ascii="Arial" w:hAnsi="Arial"/>
          <w:i/>
          <w:iCs/>
          <w:sz w:val="24"/>
          <w:szCs w:val="24"/>
        </w:rPr>
        <w:t xml:space="preserve"> 1-5</w:t>
      </w:r>
      <w:r w:rsidR="005E54D0">
        <w:rPr>
          <w:rFonts w:ascii="Arial" w:hAnsi="Arial"/>
          <w:sz w:val="24"/>
          <w:szCs w:val="24"/>
        </w:rPr>
        <w:t>:</w:t>
      </w:r>
    </w:p>
    <w:p w14:paraId="003D8FA6" w14:textId="41278536" w:rsidR="005E54D0" w:rsidRPr="00CA217C" w:rsidRDefault="005E54D0" w:rsidP="005E54D0">
      <w:pPr>
        <w:spacing w:after="390" w:line="240" w:lineRule="auto"/>
        <w:ind w:left="720" w:hanging="720"/>
        <w:rPr>
          <w:rFonts w:ascii="Arial" w:hAnsi="Arial"/>
          <w:sz w:val="24"/>
          <w:szCs w:val="24"/>
        </w:rPr>
      </w:pPr>
      <w:r>
        <w:rPr>
          <w:rFonts w:ascii="Arial" w:hAnsi="Arial"/>
          <w:sz w:val="24"/>
          <w:szCs w:val="24"/>
        </w:rPr>
        <w:t>1</w:t>
      </w:r>
      <w:r>
        <w:rPr>
          <w:rFonts w:ascii="Arial" w:hAnsi="Arial"/>
          <w:sz w:val="24"/>
          <w:szCs w:val="24"/>
        </w:rPr>
        <w:tab/>
        <w:t>T</w:t>
      </w:r>
      <w:r w:rsidRPr="00CA217C">
        <w:rPr>
          <w:rFonts w:ascii="Arial" w:hAnsi="Arial"/>
          <w:sz w:val="24"/>
          <w:szCs w:val="24"/>
        </w:rPr>
        <w:t xml:space="preserve">he 2019 </w:t>
      </w:r>
      <w:r w:rsidR="00712A1A">
        <w:rPr>
          <w:rFonts w:ascii="Arial" w:hAnsi="Arial"/>
          <w:sz w:val="24"/>
          <w:szCs w:val="24"/>
        </w:rPr>
        <w:t>Spending Review (</w:t>
      </w:r>
      <w:r w:rsidR="00712A1A" w:rsidRPr="00E47447">
        <w:rPr>
          <w:rFonts w:ascii="Arial" w:hAnsi="Arial"/>
          <w:i/>
          <w:iCs/>
          <w:sz w:val="24"/>
          <w:szCs w:val="24"/>
        </w:rPr>
        <w:t>2019</w:t>
      </w:r>
      <w:r w:rsidRPr="00E47447">
        <w:rPr>
          <w:rFonts w:ascii="Arial" w:hAnsi="Arial"/>
          <w:i/>
          <w:iCs/>
          <w:sz w:val="24"/>
          <w:szCs w:val="24"/>
        </w:rPr>
        <w:t>SR</w:t>
      </w:r>
      <w:r w:rsidR="00712A1A">
        <w:rPr>
          <w:rFonts w:ascii="Arial" w:hAnsi="Arial"/>
          <w:sz w:val="24"/>
          <w:szCs w:val="24"/>
        </w:rPr>
        <w:t>)</w:t>
      </w:r>
      <w:r w:rsidRPr="00CA217C">
        <w:rPr>
          <w:rFonts w:ascii="Arial" w:hAnsi="Arial"/>
          <w:sz w:val="24"/>
          <w:szCs w:val="24"/>
        </w:rPr>
        <w:t xml:space="preserve"> should increase the NIC’s current Fiscal Remit</w:t>
      </w:r>
      <w:r w:rsidR="003867B4">
        <w:rPr>
          <w:rFonts w:ascii="Arial" w:hAnsi="Arial"/>
          <w:sz w:val="24"/>
          <w:szCs w:val="24"/>
        </w:rPr>
        <w:t xml:space="preserve"> </w:t>
      </w:r>
      <w:r w:rsidR="007015DE">
        <w:rPr>
          <w:rFonts w:ascii="Arial" w:hAnsi="Arial"/>
          <w:sz w:val="24"/>
          <w:szCs w:val="24"/>
        </w:rPr>
        <w:t xml:space="preserve">funding envelope and </w:t>
      </w:r>
      <w:r w:rsidRPr="00CA217C">
        <w:rPr>
          <w:rFonts w:ascii="Arial" w:hAnsi="Arial"/>
          <w:sz w:val="24"/>
          <w:szCs w:val="24"/>
        </w:rPr>
        <w:t>disentangle</w:t>
      </w:r>
      <w:r w:rsidR="001421DB">
        <w:rPr>
          <w:rFonts w:ascii="Arial" w:hAnsi="Arial"/>
          <w:sz w:val="24"/>
          <w:szCs w:val="24"/>
        </w:rPr>
        <w:t xml:space="preserve"> it</w:t>
      </w:r>
      <w:r w:rsidRPr="00CA217C">
        <w:rPr>
          <w:rFonts w:ascii="Arial" w:hAnsi="Arial"/>
          <w:sz w:val="24"/>
          <w:szCs w:val="24"/>
        </w:rPr>
        <w:t xml:space="preserve"> from unitary cash-based fiscal targets</w:t>
      </w:r>
      <w:r w:rsidR="0037343E">
        <w:rPr>
          <w:rFonts w:ascii="Arial" w:hAnsi="Arial"/>
          <w:sz w:val="24"/>
          <w:szCs w:val="24"/>
        </w:rPr>
        <w:t xml:space="preserve">, in accordance with </w:t>
      </w:r>
      <w:r w:rsidR="0037343E" w:rsidRPr="007015DE">
        <w:rPr>
          <w:rFonts w:ascii="Arial" w:hAnsi="Arial"/>
          <w:i/>
          <w:iCs/>
          <w:sz w:val="24"/>
          <w:szCs w:val="24"/>
        </w:rPr>
        <w:t>recommendations 4 and 5 below</w:t>
      </w:r>
      <w:r w:rsidRPr="00CA217C">
        <w:rPr>
          <w:rFonts w:ascii="Arial" w:hAnsi="Arial"/>
          <w:sz w:val="24"/>
          <w:szCs w:val="24"/>
        </w:rPr>
        <w:t>.</w:t>
      </w:r>
    </w:p>
    <w:p w14:paraId="54BC7984" w14:textId="3F358A14" w:rsidR="005E54D0" w:rsidRDefault="005E54D0" w:rsidP="006123B5">
      <w:pPr>
        <w:spacing w:after="390" w:line="240" w:lineRule="auto"/>
        <w:ind w:left="720" w:hanging="720"/>
        <w:rPr>
          <w:rFonts w:ascii="Arial" w:hAnsi="Arial"/>
          <w:sz w:val="24"/>
          <w:szCs w:val="24"/>
        </w:rPr>
      </w:pPr>
      <w:r>
        <w:rPr>
          <w:rFonts w:ascii="Arial" w:hAnsi="Arial"/>
          <w:sz w:val="24"/>
          <w:szCs w:val="24"/>
        </w:rPr>
        <w:t>2.</w:t>
      </w:r>
      <w:r>
        <w:rPr>
          <w:rFonts w:ascii="Arial" w:hAnsi="Arial"/>
          <w:sz w:val="24"/>
          <w:szCs w:val="24"/>
        </w:rPr>
        <w:tab/>
        <w:t>T</w:t>
      </w:r>
      <w:r w:rsidRPr="00CA217C">
        <w:rPr>
          <w:rFonts w:ascii="Arial" w:hAnsi="Arial"/>
          <w:sz w:val="24"/>
          <w:szCs w:val="24"/>
        </w:rPr>
        <w:t>he NIC</w:t>
      </w:r>
      <w:r w:rsidR="003867B4">
        <w:rPr>
          <w:rFonts w:ascii="Arial" w:hAnsi="Arial"/>
          <w:sz w:val="24"/>
          <w:szCs w:val="24"/>
        </w:rPr>
        <w:t xml:space="preserve"> </w:t>
      </w:r>
      <w:r w:rsidR="006123B5">
        <w:rPr>
          <w:rFonts w:ascii="Arial" w:hAnsi="Arial"/>
          <w:sz w:val="24"/>
          <w:szCs w:val="24"/>
        </w:rPr>
        <w:t xml:space="preserve">should provide </w:t>
      </w:r>
      <w:r w:rsidRPr="00CA217C">
        <w:rPr>
          <w:rFonts w:ascii="Arial" w:hAnsi="Arial"/>
          <w:sz w:val="24"/>
          <w:szCs w:val="24"/>
        </w:rPr>
        <w:t xml:space="preserve">evidenced assessment of the future volume need for public investment and its sequencing to the Treasury. </w:t>
      </w:r>
    </w:p>
    <w:p w14:paraId="29E000EA" w14:textId="45C97E99" w:rsidR="00F0620E" w:rsidRPr="00257AFB" w:rsidRDefault="008A28C5" w:rsidP="00F0620E">
      <w:pPr>
        <w:spacing w:after="39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t>A</w:t>
      </w:r>
      <w:r w:rsidR="00F0620E" w:rsidRPr="006F7DA3">
        <w:rPr>
          <w:rFonts w:ascii="Arial" w:eastAsia="Times New Roman" w:hAnsi="Arial" w:cs="Arial"/>
          <w:sz w:val="24"/>
          <w:szCs w:val="24"/>
          <w:lang w:val="en-GB" w:eastAsia="en-GB"/>
        </w:rPr>
        <w:t xml:space="preserve"> reformed fiscal rule framework should put public procurement and PPP’s on a </w:t>
      </w:r>
      <w:r>
        <w:rPr>
          <w:rFonts w:ascii="Arial" w:eastAsia="Times New Roman" w:hAnsi="Arial" w:cs="Arial"/>
          <w:sz w:val="24"/>
          <w:szCs w:val="24"/>
          <w:lang w:val="en-GB" w:eastAsia="en-GB"/>
        </w:rPr>
        <w:tab/>
        <w:t>l</w:t>
      </w:r>
      <w:r w:rsidR="00F0620E" w:rsidRPr="006F7DA3">
        <w:rPr>
          <w:rFonts w:ascii="Arial" w:eastAsia="Times New Roman" w:hAnsi="Arial" w:cs="Arial"/>
          <w:sz w:val="24"/>
          <w:szCs w:val="24"/>
          <w:lang w:val="en-GB" w:eastAsia="en-GB"/>
        </w:rPr>
        <w:t>evel playing field.</w:t>
      </w:r>
      <w:r w:rsidR="003867B4">
        <w:rPr>
          <w:rFonts w:ascii="Arial" w:eastAsia="Times New Roman" w:hAnsi="Arial" w:cs="Arial"/>
          <w:sz w:val="24"/>
          <w:szCs w:val="24"/>
          <w:lang w:val="en-GB" w:eastAsia="en-GB"/>
        </w:rPr>
        <w:t xml:space="preserve"> </w:t>
      </w:r>
      <w:r w:rsidR="003867B4" w:rsidRPr="003867B4">
        <w:rPr>
          <w:rFonts w:ascii="Arial" w:eastAsia="Times New Roman" w:hAnsi="Arial" w:cs="Arial"/>
          <w:sz w:val="24"/>
          <w:szCs w:val="24"/>
          <w:u w:val="single"/>
          <w:lang w:val="en-GB" w:eastAsia="en-GB"/>
        </w:rPr>
        <w:t>Consistent with that</w:t>
      </w:r>
      <w:r w:rsidR="003867B4">
        <w:rPr>
          <w:rFonts w:ascii="Arial" w:eastAsia="Times New Roman" w:hAnsi="Arial" w:cs="Arial"/>
          <w:sz w:val="24"/>
          <w:szCs w:val="24"/>
          <w:lang w:val="en-GB" w:eastAsia="en-GB"/>
        </w:rPr>
        <w:t>:</w:t>
      </w:r>
    </w:p>
    <w:p w14:paraId="118FD92B" w14:textId="3293F93E" w:rsidR="00F0620E" w:rsidRDefault="008A28C5" w:rsidP="00550A31">
      <w:pPr>
        <w:spacing w:after="0" w:line="240" w:lineRule="auto"/>
        <w:ind w:left="720" w:hanging="720"/>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Pr>
          <w:rFonts w:ascii="Arial" w:eastAsia="Times New Roman" w:hAnsi="Arial" w:cs="Arial"/>
          <w:sz w:val="24"/>
          <w:szCs w:val="24"/>
          <w:lang w:val="en-GB" w:eastAsia="en-GB"/>
        </w:rPr>
        <w:tab/>
      </w:r>
      <w:r w:rsidR="00F0620E" w:rsidRPr="00257AFB">
        <w:rPr>
          <w:rFonts w:ascii="Arial" w:eastAsia="Times New Roman" w:hAnsi="Arial" w:cs="Arial"/>
          <w:sz w:val="24"/>
          <w:szCs w:val="24"/>
          <w:lang w:val="en-GB" w:eastAsia="en-GB"/>
        </w:rPr>
        <w:t>Capital spending on both conventional and PPP’s should be freed from year-to-year financial cash-limits, but their modelled future revenue liabilities included in future government debt projections used to assess future debt sustainability.</w:t>
      </w:r>
    </w:p>
    <w:p w14:paraId="568AF706" w14:textId="77777777" w:rsidR="00F0620E" w:rsidRDefault="00F0620E" w:rsidP="00F0620E">
      <w:pPr>
        <w:spacing w:after="0" w:line="240" w:lineRule="auto"/>
        <w:rPr>
          <w:rFonts w:ascii="Arial" w:eastAsia="Times New Roman" w:hAnsi="Arial" w:cs="Arial"/>
          <w:sz w:val="24"/>
          <w:szCs w:val="24"/>
          <w:lang w:val="en-GB" w:eastAsia="en-GB"/>
        </w:rPr>
      </w:pPr>
    </w:p>
    <w:p w14:paraId="2C33880F" w14:textId="2AE1F23E" w:rsidR="00F0620E" w:rsidRDefault="00550A31" w:rsidP="00550A31">
      <w:pPr>
        <w:spacing w:after="0" w:line="240" w:lineRule="auto"/>
        <w:ind w:left="720" w:hanging="720"/>
        <w:rPr>
          <w:rFonts w:ascii="Arial" w:eastAsia="Times New Roman" w:hAnsi="Arial" w:cs="Arial"/>
          <w:sz w:val="24"/>
          <w:szCs w:val="24"/>
          <w:lang w:val="en-GB" w:eastAsia="en-GB"/>
        </w:rPr>
      </w:pPr>
      <w:r>
        <w:rPr>
          <w:rFonts w:ascii="Arial" w:eastAsia="Times New Roman" w:hAnsi="Arial" w:cs="Arial"/>
          <w:sz w:val="24"/>
          <w:szCs w:val="24"/>
          <w:lang w:val="en-GB" w:eastAsia="en-GB"/>
        </w:rPr>
        <w:t>5.</w:t>
      </w:r>
      <w:r>
        <w:rPr>
          <w:rFonts w:ascii="Arial" w:eastAsia="Times New Roman" w:hAnsi="Arial" w:cs="Arial"/>
          <w:sz w:val="24"/>
          <w:szCs w:val="24"/>
          <w:lang w:val="en-GB" w:eastAsia="en-GB"/>
        </w:rPr>
        <w:tab/>
      </w:r>
      <w:r w:rsidR="00F0620E" w:rsidRPr="00257AFB">
        <w:rPr>
          <w:rFonts w:ascii="Arial" w:eastAsia="Times New Roman" w:hAnsi="Arial" w:cs="Arial"/>
          <w:sz w:val="24"/>
          <w:szCs w:val="24"/>
          <w:lang w:val="en-GB" w:eastAsia="en-GB"/>
        </w:rPr>
        <w:t xml:space="preserve">The choice of procurement route </w:t>
      </w:r>
      <w:r w:rsidR="00D86C68">
        <w:rPr>
          <w:rFonts w:ascii="Arial" w:eastAsia="Times New Roman" w:hAnsi="Arial" w:cs="Arial"/>
          <w:sz w:val="24"/>
          <w:szCs w:val="24"/>
          <w:lang w:val="en-GB" w:eastAsia="en-GB"/>
        </w:rPr>
        <w:t>for public</w:t>
      </w:r>
      <w:r w:rsidR="00C501F7">
        <w:rPr>
          <w:rFonts w:ascii="Arial" w:eastAsia="Times New Roman" w:hAnsi="Arial" w:cs="Arial"/>
          <w:sz w:val="24"/>
          <w:szCs w:val="24"/>
          <w:lang w:val="en-GB" w:eastAsia="en-GB"/>
        </w:rPr>
        <w:t xml:space="preserve">ly-supported procurements </w:t>
      </w:r>
      <w:r w:rsidR="00F0620E" w:rsidRPr="00257AFB">
        <w:rPr>
          <w:rFonts w:ascii="Arial" w:eastAsia="Times New Roman" w:hAnsi="Arial" w:cs="Arial"/>
          <w:sz w:val="24"/>
          <w:szCs w:val="24"/>
          <w:lang w:val="en-GB" w:eastAsia="en-GB"/>
        </w:rPr>
        <w:t>should strictly and wholly be</w:t>
      </w:r>
      <w:r w:rsidR="00F0620E">
        <w:rPr>
          <w:rFonts w:ascii="Arial" w:eastAsia="Times New Roman" w:hAnsi="Arial" w:cs="Arial"/>
          <w:sz w:val="24"/>
          <w:szCs w:val="24"/>
          <w:lang w:val="en-GB" w:eastAsia="en-GB"/>
        </w:rPr>
        <w:t xml:space="preserve"> determined </w:t>
      </w:r>
      <w:r w:rsidR="00C501F7">
        <w:rPr>
          <w:rFonts w:ascii="Arial" w:eastAsia="Times New Roman" w:hAnsi="Arial" w:cs="Arial"/>
          <w:sz w:val="24"/>
          <w:szCs w:val="24"/>
          <w:lang w:val="en-GB" w:eastAsia="en-GB"/>
        </w:rPr>
        <w:t xml:space="preserve">by </w:t>
      </w:r>
      <w:r w:rsidR="00F0620E" w:rsidRPr="00257AFB">
        <w:rPr>
          <w:rFonts w:ascii="Arial" w:eastAsia="Times New Roman" w:hAnsi="Arial" w:cs="Arial"/>
          <w:sz w:val="24"/>
          <w:szCs w:val="24"/>
          <w:lang w:val="en-GB" w:eastAsia="en-GB"/>
        </w:rPr>
        <w:t>relative whole-life project efficiency</w:t>
      </w:r>
      <w:r w:rsidR="00C501F7">
        <w:rPr>
          <w:rFonts w:ascii="Arial" w:eastAsia="Times New Roman" w:hAnsi="Arial" w:cs="Arial"/>
          <w:sz w:val="24"/>
          <w:szCs w:val="24"/>
          <w:lang w:val="en-GB" w:eastAsia="en-GB"/>
        </w:rPr>
        <w:t>;</w:t>
      </w:r>
      <w:r w:rsidR="00DC7CC3">
        <w:rPr>
          <w:rFonts w:ascii="Arial" w:eastAsia="Times New Roman" w:hAnsi="Arial" w:cs="Arial"/>
          <w:sz w:val="24"/>
          <w:szCs w:val="24"/>
          <w:lang w:val="en-GB" w:eastAsia="en-GB"/>
        </w:rPr>
        <w:t xml:space="preserve"> the NIC </w:t>
      </w:r>
      <w:r w:rsidR="00E30CCF">
        <w:rPr>
          <w:rFonts w:ascii="Arial" w:eastAsia="Times New Roman" w:hAnsi="Arial" w:cs="Arial"/>
          <w:sz w:val="24"/>
          <w:szCs w:val="24"/>
          <w:lang w:val="en-GB" w:eastAsia="en-GB"/>
        </w:rPr>
        <w:t xml:space="preserve">and IPA should ensure that </w:t>
      </w:r>
      <w:r w:rsidR="002E0199">
        <w:rPr>
          <w:rFonts w:ascii="Arial" w:eastAsia="Times New Roman" w:hAnsi="Arial" w:cs="Arial"/>
          <w:sz w:val="24"/>
          <w:szCs w:val="24"/>
          <w:lang w:val="en-GB" w:eastAsia="en-GB"/>
        </w:rPr>
        <w:t>business cases, options appraisals</w:t>
      </w:r>
      <w:r w:rsidR="00786CCF">
        <w:rPr>
          <w:rFonts w:ascii="Arial" w:eastAsia="Times New Roman" w:hAnsi="Arial" w:cs="Arial"/>
          <w:sz w:val="24"/>
          <w:szCs w:val="24"/>
          <w:lang w:val="en-GB" w:eastAsia="en-GB"/>
        </w:rPr>
        <w:t>, and contract documentation should reflect that requirement</w:t>
      </w:r>
      <w:r w:rsidR="00C57AFE">
        <w:rPr>
          <w:rFonts w:ascii="Arial" w:eastAsia="Times New Roman" w:hAnsi="Arial" w:cs="Arial"/>
          <w:sz w:val="24"/>
          <w:szCs w:val="24"/>
          <w:lang w:val="en-GB" w:eastAsia="en-GB"/>
        </w:rPr>
        <w:t>,</w:t>
      </w:r>
      <w:r w:rsidR="007D0C7C">
        <w:rPr>
          <w:rFonts w:ascii="Arial" w:eastAsia="Times New Roman" w:hAnsi="Arial" w:cs="Arial"/>
          <w:sz w:val="24"/>
          <w:szCs w:val="24"/>
          <w:lang w:val="en-GB" w:eastAsia="en-GB"/>
        </w:rPr>
        <w:t xml:space="preserve"> </w:t>
      </w:r>
      <w:r w:rsidR="00786CCF">
        <w:rPr>
          <w:rFonts w:ascii="Arial" w:eastAsia="Times New Roman" w:hAnsi="Arial" w:cs="Arial"/>
          <w:sz w:val="24"/>
          <w:szCs w:val="24"/>
          <w:lang w:val="en-GB" w:eastAsia="en-GB"/>
        </w:rPr>
        <w:t>through</w:t>
      </w:r>
      <w:r w:rsidR="000D38A7">
        <w:rPr>
          <w:rFonts w:ascii="Arial" w:eastAsia="Times New Roman" w:hAnsi="Arial" w:cs="Arial"/>
          <w:sz w:val="24"/>
          <w:szCs w:val="24"/>
          <w:lang w:val="en-GB" w:eastAsia="en-GB"/>
        </w:rPr>
        <w:t xml:space="preserve"> </w:t>
      </w:r>
      <w:r w:rsidR="00786CCF">
        <w:rPr>
          <w:rFonts w:ascii="Arial" w:eastAsia="Times New Roman" w:hAnsi="Arial" w:cs="Arial"/>
          <w:sz w:val="24"/>
          <w:szCs w:val="24"/>
          <w:lang w:val="en-GB" w:eastAsia="en-GB"/>
        </w:rPr>
        <w:t>the development of standardised documen</w:t>
      </w:r>
      <w:r w:rsidR="000D38A7">
        <w:rPr>
          <w:rFonts w:ascii="Arial" w:eastAsia="Times New Roman" w:hAnsi="Arial" w:cs="Arial"/>
          <w:sz w:val="24"/>
          <w:szCs w:val="24"/>
          <w:lang w:val="en-GB" w:eastAsia="en-GB"/>
        </w:rPr>
        <w:t>t</w:t>
      </w:r>
      <w:r w:rsidR="00786CCF">
        <w:rPr>
          <w:rFonts w:ascii="Arial" w:eastAsia="Times New Roman" w:hAnsi="Arial" w:cs="Arial"/>
          <w:sz w:val="24"/>
          <w:szCs w:val="24"/>
          <w:lang w:val="en-GB" w:eastAsia="en-GB"/>
        </w:rPr>
        <w:t>ation</w:t>
      </w:r>
      <w:r w:rsidR="000D38A7">
        <w:rPr>
          <w:rFonts w:ascii="Arial" w:eastAsia="Times New Roman" w:hAnsi="Arial" w:cs="Arial"/>
          <w:sz w:val="24"/>
          <w:szCs w:val="24"/>
          <w:lang w:val="en-GB" w:eastAsia="en-GB"/>
        </w:rPr>
        <w:t>, project audits, and wider assurance activity.</w:t>
      </w:r>
      <w:r w:rsidR="00F0620E" w:rsidRPr="00257AFB">
        <w:rPr>
          <w:rFonts w:ascii="Arial" w:eastAsia="Times New Roman" w:hAnsi="Arial" w:cs="Arial"/>
          <w:sz w:val="24"/>
          <w:szCs w:val="24"/>
          <w:lang w:val="en-GB" w:eastAsia="en-GB"/>
        </w:rPr>
        <w:t xml:space="preserve"> </w:t>
      </w:r>
    </w:p>
    <w:p w14:paraId="7358710D" w14:textId="73071428" w:rsidR="001C4601" w:rsidRDefault="001C4601" w:rsidP="005E54D0">
      <w:pPr>
        <w:spacing w:after="390" w:line="240" w:lineRule="auto"/>
        <w:rPr>
          <w:rFonts w:ascii="Arial" w:hAnsi="Arial"/>
          <w:sz w:val="24"/>
          <w:szCs w:val="24"/>
        </w:rPr>
      </w:pPr>
    </w:p>
    <w:p w14:paraId="719D49A0" w14:textId="12326A6A" w:rsidR="00550A31" w:rsidRDefault="00550A31" w:rsidP="005E54D0">
      <w:pPr>
        <w:spacing w:after="390" w:line="240" w:lineRule="auto"/>
        <w:rPr>
          <w:rFonts w:ascii="Arial" w:hAnsi="Arial"/>
          <w:sz w:val="24"/>
          <w:szCs w:val="24"/>
          <w:u w:val="single"/>
        </w:rPr>
      </w:pPr>
      <w:r w:rsidRPr="00550A31">
        <w:rPr>
          <w:rFonts w:ascii="Arial" w:hAnsi="Arial"/>
          <w:sz w:val="24"/>
          <w:szCs w:val="24"/>
          <w:u w:val="single"/>
        </w:rPr>
        <w:t>Institutional reform</w:t>
      </w:r>
      <w:r w:rsidR="000370BF">
        <w:rPr>
          <w:rFonts w:ascii="Arial" w:hAnsi="Arial"/>
          <w:sz w:val="24"/>
          <w:szCs w:val="24"/>
          <w:u w:val="single"/>
        </w:rPr>
        <w:t xml:space="preserve"> covering the selection and ordering of projects</w:t>
      </w:r>
      <w:r w:rsidRPr="00550A31">
        <w:rPr>
          <w:rFonts w:ascii="Arial" w:hAnsi="Arial"/>
          <w:sz w:val="24"/>
          <w:szCs w:val="24"/>
          <w:u w:val="single"/>
        </w:rPr>
        <w:t xml:space="preserve"> </w:t>
      </w:r>
    </w:p>
    <w:p w14:paraId="710B10CC" w14:textId="509067A2" w:rsidR="002129A2" w:rsidRDefault="00B65CDB" w:rsidP="0014359D">
      <w:pPr>
        <w:spacing w:after="390" w:line="240" w:lineRule="auto"/>
        <w:rPr>
          <w:rFonts w:ascii="Arial" w:hAnsi="Arial"/>
          <w:sz w:val="24"/>
          <w:szCs w:val="24"/>
        </w:rPr>
      </w:pPr>
      <w:r w:rsidRPr="00B65CDB">
        <w:rPr>
          <w:rFonts w:ascii="Arial" w:hAnsi="Arial"/>
          <w:i/>
          <w:iCs/>
          <w:sz w:val="24"/>
          <w:szCs w:val="24"/>
        </w:rPr>
        <w:t>Section 3</w:t>
      </w:r>
      <w:r>
        <w:rPr>
          <w:rFonts w:ascii="Arial" w:hAnsi="Arial"/>
          <w:sz w:val="24"/>
          <w:szCs w:val="24"/>
        </w:rPr>
        <w:t xml:space="preserve"> of this submission surveys the current institutional envi</w:t>
      </w:r>
      <w:r w:rsidR="003221E2">
        <w:rPr>
          <w:rFonts w:ascii="Arial" w:hAnsi="Arial"/>
          <w:sz w:val="24"/>
          <w:szCs w:val="24"/>
        </w:rPr>
        <w:t xml:space="preserve">ronment </w:t>
      </w:r>
      <w:r w:rsidR="002129A2">
        <w:rPr>
          <w:rFonts w:ascii="Arial" w:hAnsi="Arial"/>
          <w:sz w:val="24"/>
          <w:szCs w:val="24"/>
        </w:rPr>
        <w:t xml:space="preserve">for </w:t>
      </w:r>
      <w:r w:rsidR="00DD7DD2">
        <w:rPr>
          <w:rFonts w:ascii="Arial" w:hAnsi="Arial"/>
          <w:sz w:val="24"/>
          <w:szCs w:val="24"/>
        </w:rPr>
        <w:t xml:space="preserve">infrastructural investment </w:t>
      </w:r>
      <w:r w:rsidR="002129A2">
        <w:rPr>
          <w:rFonts w:ascii="Arial" w:hAnsi="Arial"/>
          <w:sz w:val="24"/>
          <w:szCs w:val="24"/>
        </w:rPr>
        <w:t>in the wake of the recent establishment of the IPA and NIC.</w:t>
      </w:r>
    </w:p>
    <w:p w14:paraId="19BA2411" w14:textId="2AC26FCA" w:rsidR="005D6B84" w:rsidRDefault="00B00DEB" w:rsidP="005E54D0">
      <w:pPr>
        <w:spacing w:after="390" w:line="240" w:lineRule="auto"/>
        <w:rPr>
          <w:rFonts w:ascii="Arial" w:hAnsi="Arial"/>
          <w:sz w:val="24"/>
          <w:szCs w:val="24"/>
        </w:rPr>
      </w:pPr>
      <w:r>
        <w:rPr>
          <w:rFonts w:ascii="Arial" w:hAnsi="Arial"/>
          <w:sz w:val="24"/>
          <w:szCs w:val="24"/>
        </w:rPr>
        <w:t>I</w:t>
      </w:r>
      <w:r w:rsidR="0014359D" w:rsidRPr="006A7A69">
        <w:rPr>
          <w:rFonts w:ascii="Arial" w:hAnsi="Arial"/>
          <w:sz w:val="24"/>
          <w:szCs w:val="24"/>
        </w:rPr>
        <w:t>nstitutional reform to secure demonstrable efficiency in the selection, planning and delivery of infrastructural investment</w:t>
      </w:r>
      <w:r>
        <w:rPr>
          <w:rFonts w:ascii="Arial" w:hAnsi="Arial"/>
          <w:sz w:val="24"/>
          <w:szCs w:val="24"/>
        </w:rPr>
        <w:t xml:space="preserve"> </w:t>
      </w:r>
      <w:r w:rsidR="0014359D" w:rsidRPr="006A7A69">
        <w:rPr>
          <w:rFonts w:ascii="Arial" w:hAnsi="Arial"/>
          <w:sz w:val="24"/>
          <w:szCs w:val="24"/>
        </w:rPr>
        <w:t>must be made integral, and not subsidiary, to the design and operation of fiscal rule reform</w:t>
      </w:r>
      <w:r w:rsidR="00BE05E1">
        <w:rPr>
          <w:rFonts w:ascii="Arial" w:hAnsi="Arial"/>
          <w:sz w:val="24"/>
          <w:szCs w:val="24"/>
        </w:rPr>
        <w:t>:</w:t>
      </w:r>
      <w:r w:rsidR="00213622">
        <w:rPr>
          <w:rFonts w:ascii="Arial" w:hAnsi="Arial"/>
          <w:sz w:val="24"/>
          <w:szCs w:val="24"/>
        </w:rPr>
        <w:t xml:space="preserve"> greater fiscal latitude </w:t>
      </w:r>
      <w:r w:rsidR="00776333">
        <w:rPr>
          <w:rFonts w:ascii="Arial" w:hAnsi="Arial"/>
          <w:sz w:val="24"/>
          <w:szCs w:val="24"/>
        </w:rPr>
        <w:t xml:space="preserve">for productive public investment </w:t>
      </w:r>
      <w:r w:rsidR="00213622">
        <w:rPr>
          <w:rFonts w:ascii="Arial" w:hAnsi="Arial"/>
          <w:sz w:val="24"/>
          <w:szCs w:val="24"/>
        </w:rPr>
        <w:t xml:space="preserve">must go hand-in-hand with greater demonstrable efficiency </w:t>
      </w:r>
      <w:r w:rsidR="00B4165E">
        <w:rPr>
          <w:rFonts w:ascii="Arial" w:hAnsi="Arial"/>
          <w:sz w:val="24"/>
          <w:szCs w:val="24"/>
        </w:rPr>
        <w:t xml:space="preserve">in </w:t>
      </w:r>
      <w:r w:rsidR="00776333">
        <w:rPr>
          <w:rFonts w:ascii="Arial" w:hAnsi="Arial"/>
          <w:sz w:val="24"/>
          <w:szCs w:val="24"/>
        </w:rPr>
        <w:t xml:space="preserve">its </w:t>
      </w:r>
      <w:r w:rsidR="00B4165E">
        <w:rPr>
          <w:rFonts w:ascii="Arial" w:hAnsi="Arial"/>
          <w:sz w:val="24"/>
          <w:szCs w:val="24"/>
        </w:rPr>
        <w:t>selection and execution</w:t>
      </w:r>
      <w:r w:rsidR="005D6B84">
        <w:rPr>
          <w:rFonts w:ascii="Arial" w:hAnsi="Arial"/>
          <w:sz w:val="24"/>
          <w:szCs w:val="24"/>
        </w:rPr>
        <w:t>.</w:t>
      </w:r>
    </w:p>
    <w:p w14:paraId="44AB5D47" w14:textId="1797AD40" w:rsidR="0014359D" w:rsidRPr="00BE7750" w:rsidRDefault="000C687C" w:rsidP="005E54D0">
      <w:pPr>
        <w:spacing w:after="390" w:line="240" w:lineRule="auto"/>
        <w:rPr>
          <w:rFonts w:ascii="Arial" w:hAnsi="Arial"/>
          <w:sz w:val="24"/>
          <w:szCs w:val="24"/>
        </w:rPr>
      </w:pPr>
      <w:r w:rsidRPr="000C687C">
        <w:rPr>
          <w:rFonts w:ascii="Arial" w:hAnsi="Arial"/>
          <w:i/>
          <w:iCs/>
          <w:sz w:val="24"/>
          <w:szCs w:val="24"/>
        </w:rPr>
        <w:t>R</w:t>
      </w:r>
      <w:r w:rsidR="00BE7750" w:rsidRPr="000C687C">
        <w:rPr>
          <w:rFonts w:ascii="Arial" w:hAnsi="Arial"/>
          <w:i/>
          <w:iCs/>
          <w:sz w:val="24"/>
          <w:szCs w:val="24"/>
        </w:rPr>
        <w:t>ecommendations</w:t>
      </w:r>
      <w:r w:rsidRPr="000C687C">
        <w:rPr>
          <w:rFonts w:ascii="Arial" w:hAnsi="Arial"/>
          <w:i/>
          <w:iCs/>
          <w:sz w:val="24"/>
          <w:szCs w:val="24"/>
        </w:rPr>
        <w:t xml:space="preserve"> 6-7</w:t>
      </w:r>
      <w:r w:rsidR="00BE7750">
        <w:rPr>
          <w:rFonts w:ascii="Arial" w:hAnsi="Arial"/>
          <w:sz w:val="24"/>
          <w:szCs w:val="24"/>
        </w:rPr>
        <w:t>:</w:t>
      </w:r>
    </w:p>
    <w:p w14:paraId="115780CE" w14:textId="74071FAD" w:rsidR="005E54D0" w:rsidRPr="00CA217C" w:rsidRDefault="0071785E" w:rsidP="00827555">
      <w:pPr>
        <w:spacing w:after="390" w:line="240" w:lineRule="auto"/>
        <w:ind w:left="720" w:hanging="720"/>
        <w:rPr>
          <w:rFonts w:ascii="Arial" w:hAnsi="Arial"/>
          <w:sz w:val="24"/>
          <w:szCs w:val="24"/>
        </w:rPr>
      </w:pPr>
      <w:r>
        <w:rPr>
          <w:rFonts w:ascii="Arial" w:hAnsi="Arial"/>
          <w:sz w:val="24"/>
          <w:szCs w:val="24"/>
        </w:rPr>
        <w:t>6</w:t>
      </w:r>
      <w:r w:rsidR="00827555">
        <w:rPr>
          <w:rFonts w:ascii="Arial" w:hAnsi="Arial"/>
          <w:sz w:val="24"/>
          <w:szCs w:val="24"/>
        </w:rPr>
        <w:tab/>
      </w:r>
      <w:r w:rsidR="005D6B84">
        <w:rPr>
          <w:rFonts w:ascii="Arial" w:hAnsi="Arial"/>
          <w:sz w:val="24"/>
          <w:szCs w:val="24"/>
        </w:rPr>
        <w:t>T</w:t>
      </w:r>
      <w:r w:rsidR="005E54D0">
        <w:rPr>
          <w:rFonts w:ascii="Arial" w:hAnsi="Arial"/>
          <w:sz w:val="24"/>
          <w:szCs w:val="24"/>
        </w:rPr>
        <w:t xml:space="preserve">he NIC </w:t>
      </w:r>
      <w:r w:rsidR="00CC7A11">
        <w:rPr>
          <w:rFonts w:ascii="Arial" w:hAnsi="Arial"/>
          <w:sz w:val="24"/>
          <w:szCs w:val="24"/>
        </w:rPr>
        <w:t xml:space="preserve">should </w:t>
      </w:r>
      <w:r w:rsidR="005E54D0" w:rsidRPr="00CA217C">
        <w:rPr>
          <w:rFonts w:ascii="Arial" w:hAnsi="Arial"/>
          <w:sz w:val="24"/>
          <w:szCs w:val="24"/>
        </w:rPr>
        <w:t>assist each government department to publish an annual Departmental Investment Plan (DIP).</w:t>
      </w:r>
    </w:p>
    <w:p w14:paraId="64F51D06" w14:textId="55A421F6" w:rsidR="005E54D0" w:rsidRDefault="0071785E" w:rsidP="00827555">
      <w:pPr>
        <w:spacing w:after="390" w:line="240" w:lineRule="auto"/>
        <w:ind w:left="720" w:hanging="720"/>
        <w:rPr>
          <w:rFonts w:ascii="Arial" w:hAnsi="Arial"/>
          <w:sz w:val="24"/>
          <w:szCs w:val="24"/>
        </w:rPr>
      </w:pPr>
      <w:r>
        <w:rPr>
          <w:rFonts w:ascii="Arial" w:hAnsi="Arial"/>
          <w:sz w:val="24"/>
          <w:szCs w:val="24"/>
        </w:rPr>
        <w:lastRenderedPageBreak/>
        <w:t>7</w:t>
      </w:r>
      <w:r w:rsidR="00827555">
        <w:rPr>
          <w:rFonts w:ascii="Arial" w:hAnsi="Arial"/>
          <w:sz w:val="24"/>
          <w:szCs w:val="24"/>
        </w:rPr>
        <w:t>.</w:t>
      </w:r>
      <w:r w:rsidR="00827555">
        <w:rPr>
          <w:rFonts w:ascii="Arial" w:hAnsi="Arial"/>
          <w:sz w:val="24"/>
          <w:szCs w:val="24"/>
        </w:rPr>
        <w:tab/>
      </w:r>
      <w:r w:rsidR="005E54D0" w:rsidRPr="00CA217C">
        <w:rPr>
          <w:rFonts w:ascii="Arial" w:hAnsi="Arial"/>
          <w:sz w:val="24"/>
          <w:szCs w:val="24"/>
        </w:rPr>
        <w:t>Each DIP should prioritise projects according to their estimated economic and social return, incorporating auditable information on the methodology applied to rank projects according to their expected</w:t>
      </w:r>
      <w:r w:rsidR="00810432">
        <w:rPr>
          <w:rFonts w:ascii="Arial" w:hAnsi="Arial"/>
          <w:sz w:val="24"/>
          <w:szCs w:val="24"/>
        </w:rPr>
        <w:t xml:space="preserve"> whole project-life</w:t>
      </w:r>
      <w:r w:rsidR="005E54D0" w:rsidRPr="00CA217C">
        <w:rPr>
          <w:rFonts w:ascii="Arial" w:hAnsi="Arial"/>
          <w:sz w:val="24"/>
          <w:szCs w:val="24"/>
        </w:rPr>
        <w:t xml:space="preserve"> return.</w:t>
      </w:r>
    </w:p>
    <w:p w14:paraId="2A67663E" w14:textId="4CCCDEE5" w:rsidR="005E54D0" w:rsidRPr="002E410F" w:rsidRDefault="005E54D0" w:rsidP="005E54D0">
      <w:pPr>
        <w:spacing w:after="390" w:line="240" w:lineRule="auto"/>
        <w:rPr>
          <w:rFonts w:ascii="Arial" w:hAnsi="Arial"/>
          <w:sz w:val="24"/>
          <w:szCs w:val="24"/>
        </w:rPr>
      </w:pPr>
      <w:r w:rsidRPr="002E410F">
        <w:rPr>
          <w:rFonts w:ascii="Arial" w:hAnsi="Arial"/>
          <w:sz w:val="24"/>
          <w:szCs w:val="24"/>
        </w:rPr>
        <w:t xml:space="preserve">Optimal ranking of the relative macro-economic worth of competing projects is, however, difficult to achieve in practice for many reasons. </w:t>
      </w:r>
    </w:p>
    <w:p w14:paraId="5BCA240D" w14:textId="469FD824" w:rsidR="005E54D0" w:rsidRPr="002E410F" w:rsidRDefault="005E54D0" w:rsidP="005E54D0">
      <w:pPr>
        <w:spacing w:after="390" w:line="240" w:lineRule="auto"/>
        <w:rPr>
          <w:rFonts w:ascii="Arial" w:hAnsi="Arial"/>
          <w:sz w:val="24"/>
          <w:szCs w:val="24"/>
        </w:rPr>
      </w:pPr>
      <w:r w:rsidRPr="002E410F">
        <w:rPr>
          <w:rFonts w:ascii="Arial" w:hAnsi="Arial"/>
          <w:sz w:val="24"/>
          <w:szCs w:val="24"/>
        </w:rPr>
        <w:t>These include the complexity of the wider policy environment in which the selection and prioritisation takes place</w:t>
      </w:r>
      <w:r w:rsidR="007B575F">
        <w:rPr>
          <w:rFonts w:ascii="Arial" w:hAnsi="Arial"/>
          <w:sz w:val="24"/>
          <w:szCs w:val="24"/>
        </w:rPr>
        <w:t xml:space="preserve">; </w:t>
      </w:r>
      <w:r w:rsidRPr="002E410F">
        <w:rPr>
          <w:rFonts w:ascii="Arial" w:hAnsi="Arial"/>
          <w:sz w:val="24"/>
          <w:szCs w:val="24"/>
        </w:rPr>
        <w:t>the related need to balance competing multiple objectives</w:t>
      </w:r>
      <w:r w:rsidR="007B575F">
        <w:rPr>
          <w:rFonts w:ascii="Arial" w:hAnsi="Arial"/>
          <w:sz w:val="24"/>
          <w:szCs w:val="24"/>
        </w:rPr>
        <w:t>; the existence of</w:t>
      </w:r>
      <w:r w:rsidRPr="002E410F">
        <w:rPr>
          <w:rFonts w:ascii="Arial" w:hAnsi="Arial"/>
          <w:sz w:val="24"/>
          <w:szCs w:val="24"/>
        </w:rPr>
        <w:t xml:space="preserve"> contingent political pressures </w:t>
      </w:r>
      <w:proofErr w:type="spellStart"/>
      <w:r w:rsidRPr="002E410F">
        <w:rPr>
          <w:rFonts w:ascii="Arial" w:hAnsi="Arial"/>
          <w:sz w:val="24"/>
          <w:szCs w:val="24"/>
        </w:rPr>
        <w:t>favour</w:t>
      </w:r>
      <w:r w:rsidR="00EE2688">
        <w:rPr>
          <w:rFonts w:ascii="Arial" w:hAnsi="Arial"/>
          <w:sz w:val="24"/>
          <w:szCs w:val="24"/>
        </w:rPr>
        <w:t>ing</w:t>
      </w:r>
      <w:proofErr w:type="spellEnd"/>
      <w:r w:rsidRPr="002E410F">
        <w:rPr>
          <w:rFonts w:ascii="Arial" w:hAnsi="Arial"/>
          <w:sz w:val="24"/>
          <w:szCs w:val="24"/>
        </w:rPr>
        <w:t xml:space="preserve"> some projects for reasons other than their economic and overall worth, as well as capacity constraints within the public sector to apply effectively project appraisal methodologies, which like all economic tools are also only as robust as their underlying assumptions allow them to be.</w:t>
      </w:r>
    </w:p>
    <w:p w14:paraId="4BCF9048" w14:textId="5F1661C0" w:rsidR="0071785E" w:rsidRPr="00BE7750" w:rsidRDefault="009E19CC" w:rsidP="005E54D0">
      <w:pPr>
        <w:spacing w:after="390" w:line="240" w:lineRule="auto"/>
        <w:rPr>
          <w:rFonts w:ascii="Arial" w:hAnsi="Arial"/>
          <w:sz w:val="24"/>
          <w:szCs w:val="24"/>
        </w:rPr>
      </w:pPr>
      <w:r w:rsidRPr="009E19CC">
        <w:rPr>
          <w:rFonts w:ascii="Arial" w:hAnsi="Arial"/>
          <w:i/>
          <w:iCs/>
          <w:sz w:val="24"/>
          <w:szCs w:val="24"/>
        </w:rPr>
        <w:t>R</w:t>
      </w:r>
      <w:r w:rsidR="00BE7750" w:rsidRPr="009E19CC">
        <w:rPr>
          <w:rFonts w:ascii="Arial" w:hAnsi="Arial"/>
          <w:i/>
          <w:iCs/>
          <w:sz w:val="24"/>
          <w:szCs w:val="24"/>
        </w:rPr>
        <w:t>ecommendations</w:t>
      </w:r>
      <w:r w:rsidRPr="009E19CC">
        <w:rPr>
          <w:rFonts w:ascii="Arial" w:hAnsi="Arial"/>
          <w:i/>
          <w:iCs/>
          <w:sz w:val="24"/>
          <w:szCs w:val="24"/>
        </w:rPr>
        <w:t xml:space="preserve"> 8-10</w:t>
      </w:r>
      <w:r w:rsidR="00BE7750">
        <w:rPr>
          <w:rFonts w:ascii="Arial" w:hAnsi="Arial"/>
          <w:sz w:val="24"/>
          <w:szCs w:val="24"/>
        </w:rPr>
        <w:t>:</w:t>
      </w:r>
    </w:p>
    <w:p w14:paraId="74D5E428" w14:textId="0A847D20" w:rsidR="005E54D0" w:rsidRPr="00CA217C" w:rsidRDefault="0071785E" w:rsidP="0071785E">
      <w:pPr>
        <w:spacing w:after="390" w:line="240" w:lineRule="auto"/>
        <w:ind w:left="720" w:hanging="720"/>
        <w:rPr>
          <w:rFonts w:ascii="Arial" w:hAnsi="Arial"/>
          <w:sz w:val="24"/>
          <w:szCs w:val="24"/>
        </w:rPr>
      </w:pPr>
      <w:r>
        <w:rPr>
          <w:rFonts w:ascii="Arial" w:hAnsi="Arial"/>
          <w:sz w:val="24"/>
          <w:szCs w:val="24"/>
        </w:rPr>
        <w:t>8.</w:t>
      </w:r>
      <w:r>
        <w:rPr>
          <w:rFonts w:ascii="Arial" w:hAnsi="Arial"/>
          <w:sz w:val="24"/>
          <w:szCs w:val="24"/>
        </w:rPr>
        <w:tab/>
      </w:r>
      <w:r w:rsidR="001C6F19">
        <w:rPr>
          <w:rFonts w:ascii="Arial" w:hAnsi="Arial"/>
          <w:sz w:val="24"/>
          <w:szCs w:val="24"/>
        </w:rPr>
        <w:t xml:space="preserve">The IPA should be specifically </w:t>
      </w:r>
      <w:r w:rsidR="00247B4D">
        <w:rPr>
          <w:rFonts w:ascii="Arial" w:hAnsi="Arial"/>
          <w:sz w:val="24"/>
          <w:szCs w:val="24"/>
        </w:rPr>
        <w:t>t</w:t>
      </w:r>
      <w:r w:rsidR="005E54D0" w:rsidRPr="00CA217C">
        <w:rPr>
          <w:rFonts w:ascii="Arial" w:hAnsi="Arial"/>
          <w:sz w:val="24"/>
          <w:szCs w:val="24"/>
        </w:rPr>
        <w:t xml:space="preserve">asked and resourced to expand the pool of personnel skilled and experienced enough to conduct the project appraisals underpinning </w:t>
      </w:r>
      <w:r w:rsidR="00DC7A55">
        <w:rPr>
          <w:rFonts w:ascii="Arial" w:hAnsi="Arial"/>
          <w:sz w:val="24"/>
          <w:szCs w:val="24"/>
        </w:rPr>
        <w:t>DIP’s</w:t>
      </w:r>
      <w:r w:rsidR="005E54D0" w:rsidRPr="00CA217C">
        <w:rPr>
          <w:rFonts w:ascii="Arial" w:hAnsi="Arial"/>
          <w:sz w:val="24"/>
          <w:szCs w:val="24"/>
        </w:rPr>
        <w:t xml:space="preserve">. </w:t>
      </w:r>
    </w:p>
    <w:p w14:paraId="4C9EBFC7" w14:textId="135880C7" w:rsidR="005E54D0" w:rsidRPr="00CA217C" w:rsidRDefault="00CD744B" w:rsidP="00CD744B">
      <w:pPr>
        <w:spacing w:after="390" w:line="240" w:lineRule="auto"/>
        <w:ind w:left="720" w:hanging="720"/>
        <w:rPr>
          <w:rFonts w:ascii="Arial" w:hAnsi="Arial"/>
          <w:sz w:val="24"/>
          <w:szCs w:val="24"/>
        </w:rPr>
      </w:pPr>
      <w:r>
        <w:rPr>
          <w:rFonts w:ascii="Arial" w:hAnsi="Arial"/>
          <w:sz w:val="24"/>
          <w:szCs w:val="24"/>
        </w:rPr>
        <w:t>9.</w:t>
      </w:r>
      <w:r>
        <w:rPr>
          <w:rFonts w:ascii="Arial" w:hAnsi="Arial"/>
          <w:sz w:val="24"/>
          <w:szCs w:val="24"/>
        </w:rPr>
        <w:tab/>
      </w:r>
      <w:r w:rsidR="005E54D0" w:rsidRPr="00CA217C">
        <w:rPr>
          <w:rFonts w:ascii="Arial" w:hAnsi="Arial"/>
          <w:sz w:val="24"/>
          <w:szCs w:val="24"/>
        </w:rPr>
        <w:t>Partnerships with universities and the private sector could also be developed in order to develop the methodological base and to enlarge and deepen the skill set of appraisers.</w:t>
      </w:r>
    </w:p>
    <w:p w14:paraId="013008D8" w14:textId="77CBEF7D" w:rsidR="005E54D0" w:rsidRDefault="00CD744B" w:rsidP="00CD744B">
      <w:pPr>
        <w:spacing w:after="390" w:line="240" w:lineRule="auto"/>
        <w:ind w:left="720" w:hanging="720"/>
        <w:rPr>
          <w:rFonts w:ascii="Arial" w:hAnsi="Arial"/>
          <w:sz w:val="24"/>
          <w:szCs w:val="24"/>
        </w:rPr>
      </w:pPr>
      <w:r>
        <w:rPr>
          <w:rFonts w:ascii="Arial" w:hAnsi="Arial"/>
          <w:sz w:val="24"/>
          <w:szCs w:val="24"/>
        </w:rPr>
        <w:t>10.</w:t>
      </w:r>
      <w:r>
        <w:rPr>
          <w:rFonts w:ascii="Arial" w:hAnsi="Arial"/>
          <w:sz w:val="24"/>
          <w:szCs w:val="24"/>
        </w:rPr>
        <w:tab/>
      </w:r>
      <w:r w:rsidR="005E54D0" w:rsidRPr="00CA217C">
        <w:rPr>
          <w:rFonts w:ascii="Arial" w:hAnsi="Arial"/>
          <w:sz w:val="24"/>
          <w:szCs w:val="24"/>
        </w:rPr>
        <w:t>The National Audit Office (NAO) should periodically audit DIP’s and their methodological bases.</w:t>
      </w:r>
    </w:p>
    <w:p w14:paraId="2ACFE7E3" w14:textId="55CBEC80" w:rsidR="005E54D0" w:rsidRDefault="005E54D0" w:rsidP="005E54D0">
      <w:pPr>
        <w:spacing w:after="390" w:line="240" w:lineRule="auto"/>
        <w:rPr>
          <w:rFonts w:ascii="Arial" w:hAnsi="Arial"/>
          <w:sz w:val="24"/>
          <w:szCs w:val="24"/>
        </w:rPr>
      </w:pPr>
      <w:r>
        <w:rPr>
          <w:rFonts w:ascii="Arial" w:hAnsi="Arial"/>
          <w:sz w:val="24"/>
          <w:szCs w:val="24"/>
        </w:rPr>
        <w:t>T</w:t>
      </w:r>
      <w:r w:rsidRPr="002E410F">
        <w:rPr>
          <w:rFonts w:ascii="Arial" w:hAnsi="Arial"/>
          <w:sz w:val="24"/>
          <w:szCs w:val="24"/>
        </w:rPr>
        <w:t>he efficiency of public investment as well as its overall macro-economic impact, will also depend on the availability of materials, equipment,</w:t>
      </w:r>
      <w:r w:rsidR="00C800AD">
        <w:rPr>
          <w:rFonts w:ascii="Arial" w:hAnsi="Arial"/>
          <w:sz w:val="24"/>
          <w:szCs w:val="24"/>
        </w:rPr>
        <w:t xml:space="preserve"> and the supply of</w:t>
      </w:r>
      <w:r w:rsidRPr="002E410F">
        <w:rPr>
          <w:rFonts w:ascii="Arial" w:hAnsi="Arial"/>
          <w:sz w:val="24"/>
          <w:szCs w:val="24"/>
        </w:rPr>
        <w:t xml:space="preserve"> skilled </w:t>
      </w:r>
      <w:r w:rsidR="00421E56">
        <w:rPr>
          <w:rFonts w:ascii="Arial" w:hAnsi="Arial"/>
          <w:sz w:val="24"/>
          <w:szCs w:val="24"/>
        </w:rPr>
        <w:t xml:space="preserve">professional and craft </w:t>
      </w:r>
      <w:proofErr w:type="spellStart"/>
      <w:r w:rsidRPr="002E410F">
        <w:rPr>
          <w:rFonts w:ascii="Arial" w:hAnsi="Arial"/>
          <w:sz w:val="24"/>
          <w:szCs w:val="24"/>
        </w:rPr>
        <w:t>labour</w:t>
      </w:r>
      <w:proofErr w:type="spellEnd"/>
      <w:r w:rsidR="00D5029F">
        <w:rPr>
          <w:rFonts w:ascii="Arial" w:hAnsi="Arial"/>
          <w:sz w:val="24"/>
          <w:szCs w:val="24"/>
        </w:rPr>
        <w:t xml:space="preserve"> </w:t>
      </w:r>
      <w:r w:rsidR="00C800AD">
        <w:rPr>
          <w:rFonts w:ascii="Arial" w:hAnsi="Arial"/>
          <w:sz w:val="24"/>
          <w:szCs w:val="24"/>
        </w:rPr>
        <w:t>supply</w:t>
      </w:r>
      <w:r w:rsidR="00BF0F9C">
        <w:rPr>
          <w:rFonts w:ascii="Arial" w:hAnsi="Arial"/>
          <w:sz w:val="24"/>
          <w:szCs w:val="24"/>
        </w:rPr>
        <w:t xml:space="preserve">. </w:t>
      </w:r>
    </w:p>
    <w:p w14:paraId="5BFD9BA5" w14:textId="52218C0F" w:rsidR="007D4E00" w:rsidRDefault="00CD744B" w:rsidP="00CD744B">
      <w:pPr>
        <w:spacing w:after="390" w:line="240" w:lineRule="auto"/>
        <w:rPr>
          <w:rFonts w:ascii="Arial" w:hAnsi="Arial"/>
          <w:sz w:val="24"/>
          <w:szCs w:val="24"/>
        </w:rPr>
      </w:pPr>
      <w:r w:rsidRPr="002E410F">
        <w:rPr>
          <w:rFonts w:ascii="Arial" w:hAnsi="Arial"/>
          <w:sz w:val="24"/>
          <w:szCs w:val="24"/>
        </w:rPr>
        <w:t xml:space="preserve">Varying investment levels to regulate aggregate demand </w:t>
      </w:r>
      <w:r w:rsidR="00247B4D">
        <w:rPr>
          <w:rFonts w:ascii="Arial" w:hAnsi="Arial"/>
          <w:sz w:val="24"/>
          <w:szCs w:val="24"/>
        </w:rPr>
        <w:t xml:space="preserve">for macro-economic </w:t>
      </w:r>
      <w:r w:rsidR="00FC093A">
        <w:rPr>
          <w:rFonts w:ascii="Arial" w:hAnsi="Arial"/>
          <w:sz w:val="24"/>
          <w:szCs w:val="24"/>
        </w:rPr>
        <w:t xml:space="preserve">stabilization </w:t>
      </w:r>
      <w:r w:rsidR="00247B4D">
        <w:rPr>
          <w:rFonts w:ascii="Arial" w:hAnsi="Arial"/>
          <w:sz w:val="24"/>
          <w:szCs w:val="24"/>
        </w:rPr>
        <w:t xml:space="preserve">purposes </w:t>
      </w:r>
      <w:r w:rsidRPr="002E410F">
        <w:rPr>
          <w:rFonts w:ascii="Arial" w:hAnsi="Arial"/>
          <w:sz w:val="24"/>
          <w:szCs w:val="24"/>
        </w:rPr>
        <w:t xml:space="preserve">is likely to </w:t>
      </w:r>
      <w:r w:rsidR="001409F6">
        <w:rPr>
          <w:rFonts w:ascii="Arial" w:hAnsi="Arial"/>
          <w:sz w:val="24"/>
          <w:szCs w:val="24"/>
        </w:rPr>
        <w:t xml:space="preserve">run counter </w:t>
      </w:r>
      <w:r w:rsidRPr="002E410F">
        <w:rPr>
          <w:rFonts w:ascii="Arial" w:hAnsi="Arial"/>
          <w:sz w:val="24"/>
          <w:szCs w:val="24"/>
        </w:rPr>
        <w:t>to the efficient planning and delivery of the investment pipeline and projects</w:t>
      </w:r>
      <w:r w:rsidR="007D4E00">
        <w:rPr>
          <w:rFonts w:ascii="Arial" w:hAnsi="Arial"/>
          <w:sz w:val="24"/>
          <w:szCs w:val="24"/>
        </w:rPr>
        <w:t>.</w:t>
      </w:r>
    </w:p>
    <w:p w14:paraId="32DFCF71" w14:textId="020F8174" w:rsidR="000D025D" w:rsidRDefault="00897E00" w:rsidP="00CD744B">
      <w:pPr>
        <w:spacing w:after="390" w:line="240" w:lineRule="auto"/>
        <w:rPr>
          <w:rFonts w:ascii="Arial" w:hAnsi="Arial"/>
          <w:sz w:val="24"/>
          <w:szCs w:val="24"/>
        </w:rPr>
      </w:pPr>
      <w:r>
        <w:rPr>
          <w:rFonts w:ascii="Arial" w:hAnsi="Arial"/>
          <w:sz w:val="24"/>
          <w:szCs w:val="24"/>
        </w:rPr>
        <w:t xml:space="preserve">Progress towards the attainment of a </w:t>
      </w:r>
      <w:r w:rsidR="00CD744B" w:rsidRPr="002E410F">
        <w:rPr>
          <w:rFonts w:ascii="Arial" w:hAnsi="Arial"/>
          <w:sz w:val="24"/>
          <w:szCs w:val="24"/>
        </w:rPr>
        <w:t>steady</w:t>
      </w:r>
      <w:r>
        <w:rPr>
          <w:rFonts w:ascii="Arial" w:hAnsi="Arial"/>
          <w:sz w:val="24"/>
          <w:szCs w:val="24"/>
        </w:rPr>
        <w:t xml:space="preserve"> </w:t>
      </w:r>
      <w:r w:rsidR="00CD744B" w:rsidRPr="002E410F">
        <w:rPr>
          <w:rFonts w:ascii="Arial" w:hAnsi="Arial"/>
          <w:sz w:val="24"/>
          <w:szCs w:val="24"/>
        </w:rPr>
        <w:t xml:space="preserve">state planned and </w:t>
      </w:r>
      <w:r w:rsidR="00AC3685" w:rsidRPr="002E410F">
        <w:rPr>
          <w:rFonts w:ascii="Arial" w:hAnsi="Arial"/>
          <w:sz w:val="24"/>
          <w:szCs w:val="24"/>
        </w:rPr>
        <w:t>coordinated</w:t>
      </w:r>
      <w:r w:rsidR="00CD744B" w:rsidRPr="002E410F">
        <w:rPr>
          <w:rFonts w:ascii="Arial" w:hAnsi="Arial"/>
          <w:sz w:val="24"/>
          <w:szCs w:val="24"/>
        </w:rPr>
        <w:t xml:space="preserve"> level</w:t>
      </w:r>
      <w:r w:rsidR="00983E98">
        <w:rPr>
          <w:rFonts w:ascii="Arial" w:hAnsi="Arial"/>
          <w:sz w:val="24"/>
          <w:szCs w:val="24"/>
        </w:rPr>
        <w:t xml:space="preserve"> of infrastruc</w:t>
      </w:r>
      <w:r w:rsidR="00470EB7">
        <w:rPr>
          <w:rFonts w:ascii="Arial" w:hAnsi="Arial"/>
          <w:sz w:val="24"/>
          <w:szCs w:val="24"/>
        </w:rPr>
        <w:t xml:space="preserve">tural investment </w:t>
      </w:r>
      <w:r w:rsidR="00B823D8">
        <w:rPr>
          <w:rFonts w:ascii="Arial" w:hAnsi="Arial"/>
          <w:sz w:val="24"/>
          <w:szCs w:val="24"/>
        </w:rPr>
        <w:t>would help to maximise growth and productivity outcomes</w:t>
      </w:r>
      <w:r w:rsidR="00470EB7">
        <w:rPr>
          <w:rFonts w:ascii="Arial" w:hAnsi="Arial"/>
          <w:sz w:val="24"/>
          <w:szCs w:val="24"/>
        </w:rPr>
        <w:t xml:space="preserve">. </w:t>
      </w:r>
      <w:r w:rsidR="00983E98">
        <w:rPr>
          <w:rFonts w:ascii="Arial" w:hAnsi="Arial"/>
          <w:sz w:val="24"/>
          <w:szCs w:val="24"/>
        </w:rPr>
        <w:t xml:space="preserve"> </w:t>
      </w:r>
    </w:p>
    <w:p w14:paraId="1574837F" w14:textId="642F8F54" w:rsidR="00CD744B" w:rsidRDefault="00B823D8" w:rsidP="00CD744B">
      <w:pPr>
        <w:spacing w:after="390" w:line="240" w:lineRule="auto"/>
        <w:rPr>
          <w:rFonts w:ascii="Arial" w:hAnsi="Arial"/>
          <w:sz w:val="24"/>
          <w:szCs w:val="24"/>
        </w:rPr>
      </w:pPr>
      <w:r>
        <w:rPr>
          <w:rFonts w:ascii="Arial" w:hAnsi="Arial"/>
          <w:sz w:val="24"/>
          <w:szCs w:val="24"/>
        </w:rPr>
        <w:t>The I</w:t>
      </w:r>
      <w:r w:rsidR="00C12488">
        <w:rPr>
          <w:rFonts w:ascii="Arial" w:hAnsi="Arial"/>
          <w:sz w:val="24"/>
          <w:szCs w:val="24"/>
        </w:rPr>
        <w:t xml:space="preserve">PA and </w:t>
      </w:r>
      <w:r w:rsidR="000D025D">
        <w:rPr>
          <w:rFonts w:ascii="Arial" w:hAnsi="Arial"/>
          <w:sz w:val="24"/>
          <w:szCs w:val="24"/>
        </w:rPr>
        <w:t>NIC</w:t>
      </w:r>
      <w:r w:rsidR="00C12488">
        <w:rPr>
          <w:rFonts w:ascii="Arial" w:hAnsi="Arial"/>
          <w:sz w:val="24"/>
          <w:szCs w:val="24"/>
        </w:rPr>
        <w:t xml:space="preserve"> </w:t>
      </w:r>
      <w:r>
        <w:rPr>
          <w:rFonts w:ascii="Arial" w:hAnsi="Arial"/>
          <w:sz w:val="24"/>
          <w:szCs w:val="24"/>
        </w:rPr>
        <w:t>should em</w:t>
      </w:r>
      <w:r w:rsidR="006E4BB5">
        <w:rPr>
          <w:rFonts w:ascii="Arial" w:hAnsi="Arial"/>
          <w:sz w:val="24"/>
          <w:szCs w:val="24"/>
        </w:rPr>
        <w:t xml:space="preserve">bed that </w:t>
      </w:r>
      <w:r w:rsidR="00771AB3">
        <w:rPr>
          <w:rFonts w:ascii="Arial" w:hAnsi="Arial"/>
          <w:sz w:val="24"/>
          <w:szCs w:val="24"/>
        </w:rPr>
        <w:t xml:space="preserve">goal </w:t>
      </w:r>
      <w:r w:rsidR="00372440">
        <w:rPr>
          <w:rFonts w:ascii="Arial" w:hAnsi="Arial"/>
          <w:sz w:val="24"/>
          <w:szCs w:val="24"/>
        </w:rPr>
        <w:t>in its appraisal and review activities</w:t>
      </w:r>
      <w:r w:rsidR="006E4BB5">
        <w:rPr>
          <w:rFonts w:ascii="Arial" w:hAnsi="Arial"/>
          <w:sz w:val="24"/>
          <w:szCs w:val="24"/>
        </w:rPr>
        <w:t>,</w:t>
      </w:r>
      <w:r w:rsidR="00372440">
        <w:rPr>
          <w:rFonts w:ascii="Arial" w:hAnsi="Arial"/>
          <w:sz w:val="24"/>
          <w:szCs w:val="24"/>
        </w:rPr>
        <w:t xml:space="preserve"> consistent</w:t>
      </w:r>
      <w:r w:rsidR="003C17E4">
        <w:rPr>
          <w:rFonts w:ascii="Arial" w:hAnsi="Arial"/>
          <w:sz w:val="24"/>
          <w:szCs w:val="24"/>
        </w:rPr>
        <w:t xml:space="preserve"> with </w:t>
      </w:r>
      <w:r w:rsidR="00E36EE3" w:rsidRPr="00E36EE3">
        <w:rPr>
          <w:rFonts w:ascii="Arial" w:hAnsi="Arial"/>
          <w:i/>
          <w:iCs/>
          <w:sz w:val="24"/>
          <w:szCs w:val="24"/>
        </w:rPr>
        <w:t>r</w:t>
      </w:r>
      <w:r w:rsidR="003C17E4" w:rsidRPr="00E36EE3">
        <w:rPr>
          <w:rFonts w:ascii="Arial" w:hAnsi="Arial"/>
          <w:i/>
          <w:iCs/>
          <w:sz w:val="24"/>
          <w:szCs w:val="24"/>
        </w:rPr>
        <w:t>ecommendations 2, 6 and 7</w:t>
      </w:r>
      <w:r w:rsidR="003C17E4">
        <w:rPr>
          <w:rFonts w:ascii="Arial" w:hAnsi="Arial"/>
          <w:sz w:val="24"/>
          <w:szCs w:val="24"/>
        </w:rPr>
        <w:t>.</w:t>
      </w:r>
      <w:r w:rsidR="00372440">
        <w:rPr>
          <w:rFonts w:ascii="Arial" w:hAnsi="Arial"/>
          <w:sz w:val="24"/>
          <w:szCs w:val="24"/>
        </w:rPr>
        <w:t xml:space="preserve"> </w:t>
      </w:r>
    </w:p>
    <w:p w14:paraId="3467CE3F" w14:textId="0D6010B2" w:rsidR="00F3432B" w:rsidRDefault="00F3432B" w:rsidP="00CD744B">
      <w:pPr>
        <w:spacing w:after="390" w:line="240" w:lineRule="auto"/>
        <w:rPr>
          <w:rFonts w:ascii="Arial" w:hAnsi="Arial"/>
          <w:sz w:val="24"/>
          <w:szCs w:val="24"/>
        </w:rPr>
      </w:pPr>
    </w:p>
    <w:p w14:paraId="396D2CEB" w14:textId="77777777" w:rsidR="00F3432B" w:rsidRDefault="00F3432B" w:rsidP="00CD744B">
      <w:pPr>
        <w:spacing w:after="390" w:line="240" w:lineRule="auto"/>
        <w:rPr>
          <w:rFonts w:ascii="Arial" w:hAnsi="Arial"/>
          <w:sz w:val="24"/>
          <w:szCs w:val="24"/>
        </w:rPr>
      </w:pPr>
    </w:p>
    <w:p w14:paraId="64021808" w14:textId="7CB5F7F7" w:rsidR="00F661C0" w:rsidRPr="002E410F" w:rsidRDefault="00CE2A4E" w:rsidP="00CD744B">
      <w:pPr>
        <w:spacing w:after="390" w:line="240" w:lineRule="auto"/>
        <w:rPr>
          <w:rFonts w:ascii="Arial" w:hAnsi="Arial"/>
          <w:sz w:val="24"/>
          <w:szCs w:val="24"/>
        </w:rPr>
      </w:pPr>
      <w:r>
        <w:rPr>
          <w:rFonts w:ascii="Arial" w:hAnsi="Arial"/>
          <w:i/>
          <w:iCs/>
          <w:sz w:val="24"/>
          <w:szCs w:val="24"/>
        </w:rPr>
        <w:t>R</w:t>
      </w:r>
      <w:r w:rsidR="00F661C0" w:rsidRPr="006E4BB5">
        <w:rPr>
          <w:rFonts w:ascii="Arial" w:hAnsi="Arial"/>
          <w:i/>
          <w:iCs/>
          <w:sz w:val="24"/>
          <w:szCs w:val="24"/>
        </w:rPr>
        <w:t>ecommendation</w:t>
      </w:r>
      <w:r w:rsidR="006E4BB5" w:rsidRPr="006E4BB5">
        <w:rPr>
          <w:rFonts w:ascii="Arial" w:hAnsi="Arial"/>
          <w:i/>
          <w:iCs/>
          <w:sz w:val="24"/>
          <w:szCs w:val="24"/>
        </w:rPr>
        <w:t xml:space="preserve"> 11</w:t>
      </w:r>
      <w:r w:rsidR="00F661C0">
        <w:rPr>
          <w:rFonts w:ascii="Arial" w:hAnsi="Arial"/>
          <w:sz w:val="24"/>
          <w:szCs w:val="24"/>
        </w:rPr>
        <w:t>:</w:t>
      </w:r>
    </w:p>
    <w:p w14:paraId="04FFC9C2" w14:textId="0D2E3453" w:rsidR="005E54D0" w:rsidRDefault="00CD744B" w:rsidP="00CD744B">
      <w:pPr>
        <w:spacing w:after="390" w:line="240" w:lineRule="auto"/>
        <w:ind w:left="720" w:hanging="720"/>
        <w:rPr>
          <w:rFonts w:ascii="Arial" w:hAnsi="Arial"/>
          <w:sz w:val="24"/>
          <w:szCs w:val="24"/>
        </w:rPr>
      </w:pPr>
      <w:r>
        <w:rPr>
          <w:rFonts w:ascii="Arial" w:hAnsi="Arial"/>
          <w:sz w:val="24"/>
          <w:szCs w:val="24"/>
        </w:rPr>
        <w:t>11.</w:t>
      </w:r>
      <w:r>
        <w:rPr>
          <w:rFonts w:ascii="Arial" w:hAnsi="Arial"/>
          <w:sz w:val="24"/>
          <w:szCs w:val="24"/>
        </w:rPr>
        <w:tab/>
      </w:r>
      <w:r w:rsidR="005E54D0">
        <w:rPr>
          <w:rFonts w:ascii="Arial" w:hAnsi="Arial"/>
          <w:sz w:val="24"/>
          <w:szCs w:val="24"/>
        </w:rPr>
        <w:t>The future availability</w:t>
      </w:r>
      <w:r w:rsidR="000A068A">
        <w:rPr>
          <w:rFonts w:ascii="Arial" w:hAnsi="Arial"/>
          <w:sz w:val="24"/>
          <w:szCs w:val="24"/>
        </w:rPr>
        <w:t xml:space="preserve"> and planning </w:t>
      </w:r>
      <w:r w:rsidR="008D0222">
        <w:rPr>
          <w:rFonts w:ascii="Arial" w:hAnsi="Arial"/>
          <w:sz w:val="24"/>
          <w:szCs w:val="24"/>
        </w:rPr>
        <w:t xml:space="preserve">of </w:t>
      </w:r>
      <w:r w:rsidR="00E4415F">
        <w:rPr>
          <w:rFonts w:ascii="Arial" w:hAnsi="Arial"/>
          <w:sz w:val="24"/>
          <w:szCs w:val="24"/>
        </w:rPr>
        <w:t>labour and material inputs</w:t>
      </w:r>
      <w:r w:rsidR="008D0222">
        <w:rPr>
          <w:rFonts w:ascii="Arial" w:hAnsi="Arial"/>
          <w:sz w:val="24"/>
          <w:szCs w:val="24"/>
        </w:rPr>
        <w:t xml:space="preserve"> critical to </w:t>
      </w:r>
      <w:r w:rsidR="005E54D0">
        <w:rPr>
          <w:rFonts w:ascii="Arial" w:hAnsi="Arial"/>
          <w:sz w:val="24"/>
          <w:szCs w:val="24"/>
        </w:rPr>
        <w:t>the requirements of the Infrastructure Pipeline should be subject to joint IPA-NIC review</w:t>
      </w:r>
      <w:r w:rsidR="000A068A">
        <w:rPr>
          <w:rFonts w:ascii="Arial" w:hAnsi="Arial"/>
          <w:sz w:val="24"/>
          <w:szCs w:val="24"/>
        </w:rPr>
        <w:t>,</w:t>
      </w:r>
      <w:r w:rsidR="005E54D0">
        <w:rPr>
          <w:rFonts w:ascii="Arial" w:hAnsi="Arial"/>
          <w:sz w:val="24"/>
          <w:szCs w:val="24"/>
        </w:rPr>
        <w:t xml:space="preserve"> in partnership with the private sector. </w:t>
      </w:r>
    </w:p>
    <w:p w14:paraId="29989914" w14:textId="13700028" w:rsidR="00F73CB9" w:rsidRPr="004A0D92" w:rsidRDefault="004172E9" w:rsidP="003B6636">
      <w:pPr>
        <w:spacing w:after="390" w:line="240" w:lineRule="auto"/>
        <w:rPr>
          <w:rFonts w:ascii="Arial" w:hAnsi="Arial"/>
          <w:sz w:val="24"/>
          <w:szCs w:val="24"/>
          <w:u w:val="single"/>
        </w:rPr>
      </w:pPr>
      <w:r w:rsidRPr="004A0D92">
        <w:rPr>
          <w:rFonts w:ascii="Arial" w:hAnsi="Arial"/>
          <w:sz w:val="24"/>
          <w:szCs w:val="24"/>
          <w:u w:val="single"/>
        </w:rPr>
        <w:t xml:space="preserve">Reducing the </w:t>
      </w:r>
      <w:r w:rsidR="004A0D92" w:rsidRPr="004A0D92">
        <w:rPr>
          <w:rFonts w:ascii="Arial" w:hAnsi="Arial"/>
          <w:sz w:val="24"/>
          <w:szCs w:val="24"/>
          <w:u w:val="single"/>
        </w:rPr>
        <w:t>cost of productive infrastructural investment</w:t>
      </w:r>
    </w:p>
    <w:p w14:paraId="56CFC38B" w14:textId="77777777" w:rsidR="00A3422A" w:rsidRDefault="00AB3532" w:rsidP="00117D11">
      <w:pPr>
        <w:spacing w:after="390" w:line="240" w:lineRule="auto"/>
        <w:rPr>
          <w:rFonts w:ascii="Arial" w:hAnsi="Arial"/>
          <w:sz w:val="24"/>
          <w:szCs w:val="24"/>
        </w:rPr>
      </w:pPr>
      <w:r>
        <w:rPr>
          <w:rFonts w:ascii="Arial" w:hAnsi="Arial"/>
          <w:sz w:val="24"/>
          <w:szCs w:val="24"/>
        </w:rPr>
        <w:t xml:space="preserve">The </w:t>
      </w:r>
      <w:r w:rsidR="00117D11" w:rsidRPr="00D85945">
        <w:rPr>
          <w:rFonts w:ascii="Arial" w:hAnsi="Arial"/>
          <w:sz w:val="24"/>
          <w:szCs w:val="24"/>
        </w:rPr>
        <w:t xml:space="preserve">reformed </w:t>
      </w:r>
      <w:r w:rsidR="007907DE">
        <w:rPr>
          <w:rFonts w:ascii="Arial" w:hAnsi="Arial"/>
          <w:sz w:val="24"/>
          <w:szCs w:val="24"/>
        </w:rPr>
        <w:t xml:space="preserve">fiscal </w:t>
      </w:r>
      <w:r w:rsidR="00117D11" w:rsidRPr="00D85945">
        <w:rPr>
          <w:rFonts w:ascii="Arial" w:hAnsi="Arial"/>
          <w:sz w:val="24"/>
          <w:szCs w:val="24"/>
        </w:rPr>
        <w:t xml:space="preserve">institutional and policy environment </w:t>
      </w:r>
      <w:r w:rsidR="007907DE">
        <w:rPr>
          <w:rFonts w:ascii="Arial" w:hAnsi="Arial"/>
          <w:sz w:val="24"/>
          <w:szCs w:val="24"/>
        </w:rPr>
        <w:t xml:space="preserve">that </w:t>
      </w:r>
      <w:r w:rsidR="007907DE" w:rsidRPr="00885B9D">
        <w:rPr>
          <w:rFonts w:ascii="Arial" w:hAnsi="Arial"/>
          <w:i/>
          <w:iCs/>
          <w:sz w:val="24"/>
          <w:szCs w:val="24"/>
        </w:rPr>
        <w:t>Sections 2 and 3</w:t>
      </w:r>
      <w:r w:rsidR="007907DE">
        <w:rPr>
          <w:rFonts w:ascii="Arial" w:hAnsi="Arial"/>
          <w:sz w:val="24"/>
          <w:szCs w:val="24"/>
        </w:rPr>
        <w:t xml:space="preserve"> set out </w:t>
      </w:r>
      <w:r w:rsidR="00117D11" w:rsidRPr="00D85945">
        <w:rPr>
          <w:rFonts w:ascii="Arial" w:hAnsi="Arial"/>
          <w:sz w:val="24"/>
          <w:szCs w:val="24"/>
        </w:rPr>
        <w:t xml:space="preserve">should </w:t>
      </w:r>
      <w:r w:rsidR="007907DE">
        <w:rPr>
          <w:rFonts w:ascii="Arial" w:hAnsi="Arial"/>
          <w:sz w:val="24"/>
          <w:szCs w:val="24"/>
        </w:rPr>
        <w:t xml:space="preserve">help </w:t>
      </w:r>
      <w:r w:rsidR="00885B9D">
        <w:rPr>
          <w:rFonts w:ascii="Arial" w:hAnsi="Arial"/>
          <w:sz w:val="24"/>
          <w:szCs w:val="24"/>
        </w:rPr>
        <w:t xml:space="preserve">to </w:t>
      </w:r>
      <w:r w:rsidR="00117D11" w:rsidRPr="00D85945">
        <w:rPr>
          <w:rFonts w:ascii="Arial" w:hAnsi="Arial"/>
          <w:sz w:val="24"/>
          <w:szCs w:val="24"/>
        </w:rPr>
        <w:t xml:space="preserve">incentivise public and private providers of infrastructure to develop positive supply-side practices in relation to supply chain management and the training and use of </w:t>
      </w:r>
      <w:proofErr w:type="spellStart"/>
      <w:r w:rsidR="00117D11" w:rsidRPr="00D85945">
        <w:rPr>
          <w:rFonts w:ascii="Arial" w:hAnsi="Arial"/>
          <w:sz w:val="24"/>
          <w:szCs w:val="24"/>
        </w:rPr>
        <w:t>labour</w:t>
      </w:r>
      <w:proofErr w:type="spellEnd"/>
      <w:r w:rsidR="00A3422A">
        <w:rPr>
          <w:rFonts w:ascii="Arial" w:hAnsi="Arial"/>
          <w:sz w:val="24"/>
          <w:szCs w:val="24"/>
        </w:rPr>
        <w:t>.</w:t>
      </w:r>
    </w:p>
    <w:p w14:paraId="603B0D2C" w14:textId="36215270" w:rsidR="00885B9D" w:rsidRDefault="00885B9D" w:rsidP="00885B9D">
      <w:pPr>
        <w:spacing w:after="390" w:line="240" w:lineRule="auto"/>
        <w:rPr>
          <w:rFonts w:ascii="Arial" w:hAnsi="Arial"/>
          <w:sz w:val="24"/>
          <w:szCs w:val="24"/>
        </w:rPr>
      </w:pPr>
      <w:r>
        <w:rPr>
          <w:rFonts w:ascii="Arial" w:hAnsi="Arial"/>
          <w:sz w:val="24"/>
          <w:szCs w:val="24"/>
        </w:rPr>
        <w:t>Certainly, g</w:t>
      </w:r>
      <w:r w:rsidRPr="00446DFD">
        <w:rPr>
          <w:rFonts w:ascii="Arial" w:hAnsi="Arial"/>
          <w:sz w:val="24"/>
          <w:szCs w:val="24"/>
        </w:rPr>
        <w:t xml:space="preserve">reater certainty in fiscal planning </w:t>
      </w:r>
      <w:r>
        <w:rPr>
          <w:rFonts w:ascii="Arial" w:hAnsi="Arial"/>
          <w:sz w:val="24"/>
          <w:szCs w:val="24"/>
        </w:rPr>
        <w:t>should</w:t>
      </w:r>
      <w:r w:rsidRPr="00446DFD">
        <w:rPr>
          <w:rFonts w:ascii="Arial" w:hAnsi="Arial"/>
          <w:sz w:val="24"/>
          <w:szCs w:val="24"/>
        </w:rPr>
        <w:t xml:space="preserve"> foster efficient public planning and programming of projects </w:t>
      </w:r>
      <w:r>
        <w:rPr>
          <w:rFonts w:ascii="Arial" w:hAnsi="Arial"/>
          <w:sz w:val="24"/>
          <w:szCs w:val="24"/>
        </w:rPr>
        <w:t xml:space="preserve">and </w:t>
      </w:r>
      <w:r w:rsidRPr="00446DFD">
        <w:rPr>
          <w:rFonts w:ascii="Arial" w:hAnsi="Arial"/>
          <w:sz w:val="24"/>
          <w:szCs w:val="24"/>
        </w:rPr>
        <w:t>a greater degree of partnership planning between the public and private sector</w:t>
      </w:r>
      <w:r>
        <w:rPr>
          <w:rFonts w:ascii="Arial" w:hAnsi="Arial"/>
          <w:sz w:val="24"/>
          <w:szCs w:val="24"/>
        </w:rPr>
        <w:t>s</w:t>
      </w:r>
      <w:r w:rsidRPr="00446DFD">
        <w:rPr>
          <w:rFonts w:ascii="Arial" w:hAnsi="Arial"/>
          <w:sz w:val="24"/>
          <w:szCs w:val="24"/>
        </w:rPr>
        <w:t>.</w:t>
      </w:r>
    </w:p>
    <w:p w14:paraId="22D80664" w14:textId="3F6A712A" w:rsidR="004757F8" w:rsidRDefault="004757F8" w:rsidP="004757F8">
      <w:pPr>
        <w:spacing w:after="390" w:line="240" w:lineRule="auto"/>
        <w:rPr>
          <w:rFonts w:ascii="Arial" w:hAnsi="Arial"/>
          <w:sz w:val="24"/>
          <w:szCs w:val="24"/>
        </w:rPr>
      </w:pPr>
      <w:r>
        <w:rPr>
          <w:rFonts w:ascii="Arial" w:hAnsi="Arial"/>
          <w:sz w:val="24"/>
          <w:szCs w:val="24"/>
        </w:rPr>
        <w:t xml:space="preserve">Both </w:t>
      </w:r>
      <w:r w:rsidR="00B476DD">
        <w:rPr>
          <w:rFonts w:ascii="Arial" w:hAnsi="Arial"/>
          <w:sz w:val="24"/>
          <w:szCs w:val="24"/>
        </w:rPr>
        <w:t xml:space="preserve">outcomes </w:t>
      </w:r>
      <w:r>
        <w:rPr>
          <w:rFonts w:ascii="Arial" w:hAnsi="Arial"/>
          <w:sz w:val="24"/>
          <w:szCs w:val="24"/>
        </w:rPr>
        <w:t xml:space="preserve">should </w:t>
      </w:r>
      <w:r w:rsidRPr="00D85945">
        <w:rPr>
          <w:rFonts w:ascii="Arial" w:hAnsi="Arial"/>
          <w:sz w:val="24"/>
          <w:szCs w:val="24"/>
        </w:rPr>
        <w:t>improv</w:t>
      </w:r>
      <w:r>
        <w:rPr>
          <w:rFonts w:ascii="Arial" w:hAnsi="Arial"/>
          <w:sz w:val="24"/>
          <w:szCs w:val="24"/>
        </w:rPr>
        <w:t xml:space="preserve">e </w:t>
      </w:r>
      <w:r w:rsidRPr="00D85945">
        <w:rPr>
          <w:rFonts w:ascii="Arial" w:hAnsi="Arial"/>
          <w:sz w:val="24"/>
          <w:szCs w:val="24"/>
        </w:rPr>
        <w:t>growth and productivity outcomes</w:t>
      </w:r>
      <w:r>
        <w:rPr>
          <w:rFonts w:ascii="Arial" w:hAnsi="Arial"/>
          <w:sz w:val="24"/>
          <w:szCs w:val="24"/>
        </w:rPr>
        <w:t>, balanced in income and spatial distributional terms</w:t>
      </w:r>
      <w:r w:rsidRPr="00D85945">
        <w:rPr>
          <w:rFonts w:ascii="Arial" w:hAnsi="Arial"/>
          <w:sz w:val="24"/>
          <w:szCs w:val="24"/>
        </w:rPr>
        <w:t>.</w:t>
      </w:r>
    </w:p>
    <w:p w14:paraId="785A6A19" w14:textId="0137BAF1" w:rsidR="00310254" w:rsidRDefault="00D85945" w:rsidP="00D85945">
      <w:pPr>
        <w:spacing w:after="390" w:line="240" w:lineRule="auto"/>
        <w:rPr>
          <w:rFonts w:ascii="Arial" w:hAnsi="Arial"/>
          <w:sz w:val="24"/>
          <w:szCs w:val="24"/>
        </w:rPr>
      </w:pPr>
      <w:r w:rsidRPr="00D85945">
        <w:rPr>
          <w:rFonts w:ascii="Arial" w:hAnsi="Arial"/>
          <w:sz w:val="24"/>
          <w:szCs w:val="24"/>
        </w:rPr>
        <w:t>One practical example of the potential of public investment to engineer structural improvement in the economy is a sustained increase in affordable housing investment to a known broad steady-state level</w:t>
      </w:r>
      <w:r w:rsidR="00295ACE">
        <w:rPr>
          <w:rFonts w:ascii="Arial" w:hAnsi="Arial"/>
          <w:sz w:val="24"/>
          <w:szCs w:val="24"/>
        </w:rPr>
        <w:t>,</w:t>
      </w:r>
      <w:r w:rsidR="00760C10">
        <w:rPr>
          <w:rFonts w:ascii="Arial" w:hAnsi="Arial"/>
          <w:sz w:val="24"/>
          <w:szCs w:val="24"/>
        </w:rPr>
        <w:t xml:space="preserve"> </w:t>
      </w:r>
      <w:r w:rsidR="00707E3C">
        <w:rPr>
          <w:rFonts w:ascii="Arial" w:hAnsi="Arial"/>
          <w:sz w:val="24"/>
          <w:szCs w:val="24"/>
        </w:rPr>
        <w:t xml:space="preserve">planned and </w:t>
      </w:r>
      <w:r w:rsidR="00896174">
        <w:rPr>
          <w:rFonts w:ascii="Arial" w:hAnsi="Arial"/>
          <w:sz w:val="24"/>
          <w:szCs w:val="24"/>
        </w:rPr>
        <w:t xml:space="preserve">meshed with </w:t>
      </w:r>
      <w:r w:rsidR="00EF7DA5">
        <w:rPr>
          <w:rFonts w:ascii="Arial" w:hAnsi="Arial"/>
          <w:sz w:val="24"/>
          <w:szCs w:val="24"/>
        </w:rPr>
        <w:t>the targeted and pl</w:t>
      </w:r>
      <w:r w:rsidR="006A448F">
        <w:rPr>
          <w:rFonts w:ascii="Arial" w:hAnsi="Arial"/>
          <w:sz w:val="24"/>
          <w:szCs w:val="24"/>
        </w:rPr>
        <w:t>a</w:t>
      </w:r>
      <w:r w:rsidR="00EF7DA5">
        <w:rPr>
          <w:rFonts w:ascii="Arial" w:hAnsi="Arial"/>
          <w:sz w:val="24"/>
          <w:szCs w:val="24"/>
        </w:rPr>
        <w:t xml:space="preserve">nned expansion of </w:t>
      </w:r>
      <w:r w:rsidR="006A448F">
        <w:rPr>
          <w:rFonts w:ascii="Arial" w:hAnsi="Arial"/>
          <w:sz w:val="24"/>
          <w:szCs w:val="24"/>
        </w:rPr>
        <w:t xml:space="preserve">apprentice and training opportunities </w:t>
      </w:r>
      <w:r w:rsidR="00A83E77">
        <w:rPr>
          <w:rFonts w:ascii="Arial" w:hAnsi="Arial"/>
          <w:sz w:val="24"/>
          <w:szCs w:val="24"/>
        </w:rPr>
        <w:t xml:space="preserve">to indigenous </w:t>
      </w:r>
      <w:r w:rsidR="00676238">
        <w:rPr>
          <w:rFonts w:ascii="Arial" w:hAnsi="Arial"/>
          <w:sz w:val="24"/>
          <w:szCs w:val="24"/>
        </w:rPr>
        <w:t>workers.</w:t>
      </w:r>
    </w:p>
    <w:p w14:paraId="0B15BE7B" w14:textId="0FF6841B" w:rsidR="00D85945" w:rsidRDefault="00D85945" w:rsidP="00D85945">
      <w:pPr>
        <w:spacing w:after="390" w:line="240" w:lineRule="auto"/>
        <w:rPr>
          <w:rFonts w:ascii="Arial" w:hAnsi="Arial"/>
          <w:sz w:val="24"/>
          <w:szCs w:val="24"/>
        </w:rPr>
      </w:pPr>
      <w:r w:rsidRPr="00D85945">
        <w:rPr>
          <w:rFonts w:ascii="Arial" w:hAnsi="Arial"/>
          <w:sz w:val="24"/>
          <w:szCs w:val="24"/>
        </w:rPr>
        <w:t xml:space="preserve">Leaving aside social </w:t>
      </w:r>
      <w:r w:rsidR="00920807">
        <w:rPr>
          <w:rFonts w:ascii="Arial" w:hAnsi="Arial"/>
          <w:sz w:val="24"/>
          <w:szCs w:val="24"/>
        </w:rPr>
        <w:t>impacts</w:t>
      </w:r>
      <w:r w:rsidRPr="00D85945">
        <w:rPr>
          <w:rFonts w:ascii="Arial" w:hAnsi="Arial"/>
          <w:sz w:val="24"/>
          <w:szCs w:val="24"/>
        </w:rPr>
        <w:t xml:space="preserve">, </w:t>
      </w:r>
      <w:r w:rsidR="006007E3">
        <w:rPr>
          <w:rFonts w:ascii="Arial" w:hAnsi="Arial"/>
          <w:sz w:val="24"/>
          <w:szCs w:val="24"/>
        </w:rPr>
        <w:t xml:space="preserve">that </w:t>
      </w:r>
      <w:r w:rsidR="00D71D3F">
        <w:rPr>
          <w:rFonts w:ascii="Arial" w:hAnsi="Arial"/>
          <w:sz w:val="24"/>
          <w:szCs w:val="24"/>
        </w:rPr>
        <w:t xml:space="preserve">should </w:t>
      </w:r>
      <w:r w:rsidR="00676238">
        <w:rPr>
          <w:rFonts w:ascii="Arial" w:hAnsi="Arial"/>
          <w:sz w:val="24"/>
          <w:szCs w:val="24"/>
        </w:rPr>
        <w:t xml:space="preserve">help to </w:t>
      </w:r>
      <w:r w:rsidR="00D71D3F">
        <w:rPr>
          <w:rFonts w:ascii="Arial" w:hAnsi="Arial"/>
          <w:sz w:val="24"/>
          <w:szCs w:val="24"/>
        </w:rPr>
        <w:t>mitiga</w:t>
      </w:r>
      <w:r w:rsidR="00D9609E">
        <w:rPr>
          <w:rFonts w:ascii="Arial" w:hAnsi="Arial"/>
          <w:sz w:val="24"/>
          <w:szCs w:val="24"/>
        </w:rPr>
        <w:t xml:space="preserve">te and avoid </w:t>
      </w:r>
      <w:r w:rsidRPr="00D85945">
        <w:rPr>
          <w:rFonts w:ascii="Arial" w:hAnsi="Arial"/>
          <w:sz w:val="24"/>
          <w:szCs w:val="24"/>
        </w:rPr>
        <w:t>existing and future labour</w:t>
      </w:r>
      <w:r w:rsidR="005030CB">
        <w:rPr>
          <w:rFonts w:ascii="Arial" w:hAnsi="Arial"/>
          <w:sz w:val="24"/>
          <w:szCs w:val="24"/>
        </w:rPr>
        <w:t xml:space="preserve"> </w:t>
      </w:r>
      <w:r w:rsidR="00676238">
        <w:rPr>
          <w:rFonts w:ascii="Arial" w:hAnsi="Arial"/>
          <w:sz w:val="24"/>
          <w:szCs w:val="24"/>
        </w:rPr>
        <w:t>bottl</w:t>
      </w:r>
      <w:r w:rsidR="005030CB">
        <w:rPr>
          <w:rFonts w:ascii="Arial" w:hAnsi="Arial"/>
          <w:sz w:val="24"/>
          <w:szCs w:val="24"/>
        </w:rPr>
        <w:t xml:space="preserve">enecks within the industry, </w:t>
      </w:r>
      <w:r w:rsidR="00D9609E">
        <w:rPr>
          <w:rFonts w:ascii="Arial" w:hAnsi="Arial"/>
          <w:sz w:val="24"/>
          <w:szCs w:val="24"/>
        </w:rPr>
        <w:t xml:space="preserve">enhancing </w:t>
      </w:r>
      <w:r w:rsidRPr="00D85945">
        <w:rPr>
          <w:rFonts w:ascii="Arial" w:hAnsi="Arial"/>
          <w:sz w:val="24"/>
          <w:szCs w:val="24"/>
        </w:rPr>
        <w:t xml:space="preserve">human capital and productivity </w:t>
      </w:r>
      <w:r w:rsidR="00D9609E">
        <w:rPr>
          <w:rFonts w:ascii="Arial" w:hAnsi="Arial"/>
          <w:sz w:val="24"/>
          <w:szCs w:val="24"/>
        </w:rPr>
        <w:t xml:space="preserve">outcomes </w:t>
      </w:r>
      <w:r w:rsidRPr="00D85945">
        <w:rPr>
          <w:rFonts w:ascii="Arial" w:hAnsi="Arial"/>
          <w:sz w:val="24"/>
          <w:szCs w:val="24"/>
        </w:rPr>
        <w:t xml:space="preserve">within </w:t>
      </w:r>
      <w:r w:rsidR="005030CB">
        <w:rPr>
          <w:rFonts w:ascii="Arial" w:hAnsi="Arial"/>
          <w:sz w:val="24"/>
          <w:szCs w:val="24"/>
        </w:rPr>
        <w:t>it</w:t>
      </w:r>
      <w:r w:rsidR="00D20E7E">
        <w:rPr>
          <w:rFonts w:ascii="Arial" w:hAnsi="Arial"/>
          <w:sz w:val="24"/>
          <w:szCs w:val="24"/>
        </w:rPr>
        <w:t>, especially as</w:t>
      </w:r>
      <w:r w:rsidRPr="00D85945">
        <w:rPr>
          <w:rFonts w:ascii="Arial" w:hAnsi="Arial"/>
          <w:sz w:val="24"/>
          <w:szCs w:val="24"/>
        </w:rPr>
        <w:t xml:space="preserve"> </w:t>
      </w:r>
      <w:r w:rsidR="00EE62F3">
        <w:rPr>
          <w:rFonts w:ascii="Arial" w:hAnsi="Arial"/>
          <w:sz w:val="24"/>
          <w:szCs w:val="24"/>
        </w:rPr>
        <w:t xml:space="preserve">a </w:t>
      </w:r>
      <w:r w:rsidRPr="00D85945">
        <w:rPr>
          <w:rFonts w:ascii="Arial" w:hAnsi="Arial"/>
          <w:sz w:val="24"/>
          <w:szCs w:val="24"/>
        </w:rPr>
        <w:t xml:space="preserve">shortage of bricklayers </w:t>
      </w:r>
      <w:r w:rsidR="00EE62F3">
        <w:rPr>
          <w:rFonts w:ascii="Arial" w:hAnsi="Arial"/>
          <w:sz w:val="24"/>
          <w:szCs w:val="24"/>
        </w:rPr>
        <w:t xml:space="preserve">and plumbers is likely to </w:t>
      </w:r>
      <w:r w:rsidR="00D20E7E">
        <w:rPr>
          <w:rFonts w:ascii="Arial" w:hAnsi="Arial"/>
          <w:sz w:val="24"/>
          <w:szCs w:val="24"/>
        </w:rPr>
        <w:t xml:space="preserve">trigger </w:t>
      </w:r>
      <w:r w:rsidRPr="00D85945">
        <w:rPr>
          <w:rFonts w:ascii="Arial" w:hAnsi="Arial"/>
          <w:sz w:val="24"/>
          <w:szCs w:val="24"/>
        </w:rPr>
        <w:t xml:space="preserve">escalating wage-inflation (particularly with post-Brexit restrictions on EU intra-labour mobility) </w:t>
      </w:r>
      <w:r w:rsidR="007875DC">
        <w:rPr>
          <w:rFonts w:ascii="Arial" w:hAnsi="Arial"/>
          <w:sz w:val="24"/>
          <w:szCs w:val="24"/>
        </w:rPr>
        <w:t xml:space="preserve">with the </w:t>
      </w:r>
      <w:r w:rsidRPr="00D85945">
        <w:rPr>
          <w:rFonts w:ascii="Arial" w:hAnsi="Arial"/>
          <w:sz w:val="24"/>
          <w:szCs w:val="24"/>
        </w:rPr>
        <w:t xml:space="preserve">next cyclical </w:t>
      </w:r>
      <w:r w:rsidR="00EE62F3">
        <w:rPr>
          <w:rFonts w:ascii="Arial" w:hAnsi="Arial"/>
          <w:sz w:val="24"/>
          <w:szCs w:val="24"/>
        </w:rPr>
        <w:t xml:space="preserve">unplanned </w:t>
      </w:r>
      <w:r w:rsidRPr="00D85945">
        <w:rPr>
          <w:rFonts w:ascii="Arial" w:hAnsi="Arial"/>
          <w:sz w:val="24"/>
          <w:szCs w:val="24"/>
        </w:rPr>
        <w:t>upturn in private housebuilding activity.</w:t>
      </w:r>
    </w:p>
    <w:p w14:paraId="71A5E5D2" w14:textId="77777777" w:rsidR="001A0ABD" w:rsidRDefault="008842D1" w:rsidP="00D85945">
      <w:pPr>
        <w:spacing w:after="390" w:line="240" w:lineRule="auto"/>
        <w:rPr>
          <w:rFonts w:ascii="Arial" w:hAnsi="Arial"/>
          <w:sz w:val="24"/>
          <w:szCs w:val="24"/>
        </w:rPr>
      </w:pPr>
      <w:r>
        <w:rPr>
          <w:rFonts w:ascii="Arial" w:hAnsi="Arial"/>
          <w:sz w:val="24"/>
          <w:szCs w:val="24"/>
        </w:rPr>
        <w:t>I</w:t>
      </w:r>
      <w:r w:rsidR="0022534B">
        <w:rPr>
          <w:rFonts w:ascii="Arial" w:hAnsi="Arial"/>
          <w:sz w:val="24"/>
          <w:szCs w:val="24"/>
        </w:rPr>
        <w:t>t was</w:t>
      </w:r>
      <w:r>
        <w:rPr>
          <w:rFonts w:ascii="Arial" w:hAnsi="Arial"/>
          <w:sz w:val="24"/>
          <w:szCs w:val="24"/>
        </w:rPr>
        <w:t xml:space="preserve"> indeed</w:t>
      </w:r>
      <w:r w:rsidR="0022534B">
        <w:rPr>
          <w:rFonts w:ascii="Arial" w:hAnsi="Arial"/>
          <w:sz w:val="24"/>
          <w:szCs w:val="24"/>
        </w:rPr>
        <w:t xml:space="preserve"> puzzling why the Consultation excluded </w:t>
      </w:r>
      <w:r w:rsidR="00E0555C">
        <w:rPr>
          <w:rFonts w:ascii="Arial" w:hAnsi="Arial"/>
          <w:sz w:val="24"/>
          <w:szCs w:val="24"/>
        </w:rPr>
        <w:t xml:space="preserve">social infrastructure. </w:t>
      </w:r>
      <w:r>
        <w:rPr>
          <w:rFonts w:ascii="Arial" w:hAnsi="Arial"/>
          <w:sz w:val="24"/>
          <w:szCs w:val="24"/>
        </w:rPr>
        <w:t xml:space="preserve">Its planning, funding, </w:t>
      </w:r>
      <w:r w:rsidR="00834E63">
        <w:rPr>
          <w:rFonts w:ascii="Arial" w:hAnsi="Arial"/>
          <w:sz w:val="24"/>
          <w:szCs w:val="24"/>
        </w:rPr>
        <w:t xml:space="preserve">selection, and execution has </w:t>
      </w:r>
      <w:r w:rsidR="008373F2">
        <w:rPr>
          <w:rFonts w:ascii="Arial" w:hAnsi="Arial"/>
          <w:sz w:val="24"/>
          <w:szCs w:val="24"/>
        </w:rPr>
        <w:t>macro-economic as well as social impacts</w:t>
      </w:r>
      <w:r w:rsidR="004B3107">
        <w:rPr>
          <w:rFonts w:ascii="Arial" w:hAnsi="Arial"/>
          <w:sz w:val="24"/>
          <w:szCs w:val="24"/>
        </w:rPr>
        <w:t>,</w:t>
      </w:r>
      <w:r w:rsidR="008373F2">
        <w:rPr>
          <w:rFonts w:ascii="Arial" w:hAnsi="Arial"/>
          <w:sz w:val="24"/>
          <w:szCs w:val="24"/>
        </w:rPr>
        <w:t xml:space="preserve"> as </w:t>
      </w:r>
      <w:r w:rsidR="008373F2" w:rsidRPr="007A75FE">
        <w:rPr>
          <w:rFonts w:ascii="Arial" w:hAnsi="Arial"/>
          <w:i/>
          <w:iCs/>
          <w:sz w:val="24"/>
          <w:szCs w:val="24"/>
        </w:rPr>
        <w:t xml:space="preserve">section </w:t>
      </w:r>
      <w:r w:rsidR="007A75FE" w:rsidRPr="007A75FE">
        <w:rPr>
          <w:rFonts w:ascii="Arial" w:hAnsi="Arial"/>
          <w:i/>
          <w:iCs/>
          <w:sz w:val="24"/>
          <w:szCs w:val="24"/>
        </w:rPr>
        <w:t>1</w:t>
      </w:r>
      <w:r w:rsidR="007A75FE">
        <w:rPr>
          <w:rFonts w:ascii="Arial" w:hAnsi="Arial"/>
          <w:sz w:val="24"/>
          <w:szCs w:val="24"/>
        </w:rPr>
        <w:t xml:space="preserve"> points out. </w:t>
      </w:r>
    </w:p>
    <w:p w14:paraId="191DDF9C" w14:textId="4002AC6E" w:rsidR="006E3FA8" w:rsidRDefault="00CE6507" w:rsidP="00D85945">
      <w:pPr>
        <w:spacing w:after="390" w:line="240" w:lineRule="auto"/>
        <w:rPr>
          <w:rFonts w:ascii="Arial" w:hAnsi="Arial"/>
          <w:sz w:val="24"/>
          <w:szCs w:val="24"/>
        </w:rPr>
      </w:pPr>
      <w:r>
        <w:rPr>
          <w:rFonts w:ascii="Arial" w:hAnsi="Arial"/>
          <w:sz w:val="24"/>
          <w:szCs w:val="24"/>
        </w:rPr>
        <w:t xml:space="preserve">Under-investment </w:t>
      </w:r>
      <w:r w:rsidR="0082748E">
        <w:rPr>
          <w:rFonts w:ascii="Arial" w:hAnsi="Arial"/>
          <w:sz w:val="24"/>
          <w:szCs w:val="24"/>
        </w:rPr>
        <w:t xml:space="preserve">in both economic and social infrastructure </w:t>
      </w:r>
      <w:r>
        <w:rPr>
          <w:rFonts w:ascii="Arial" w:hAnsi="Arial"/>
          <w:sz w:val="24"/>
          <w:szCs w:val="24"/>
        </w:rPr>
        <w:t xml:space="preserve">will </w:t>
      </w:r>
      <w:r w:rsidR="000E7AAD">
        <w:rPr>
          <w:rFonts w:ascii="Arial" w:hAnsi="Arial"/>
          <w:sz w:val="24"/>
          <w:szCs w:val="24"/>
        </w:rPr>
        <w:t xml:space="preserve">undermine efforts to achieve the step-increase in growth and productivity </w:t>
      </w:r>
      <w:r w:rsidR="006E3FA8">
        <w:rPr>
          <w:rFonts w:ascii="Arial" w:hAnsi="Arial"/>
          <w:sz w:val="24"/>
          <w:szCs w:val="24"/>
        </w:rPr>
        <w:t xml:space="preserve">that the UK so desperately needs to escape </w:t>
      </w:r>
      <w:r w:rsidR="0082748E">
        <w:rPr>
          <w:rFonts w:ascii="Arial" w:hAnsi="Arial"/>
          <w:sz w:val="24"/>
          <w:szCs w:val="24"/>
        </w:rPr>
        <w:t xml:space="preserve">the </w:t>
      </w:r>
      <w:r w:rsidR="006E3FA8">
        <w:rPr>
          <w:rFonts w:ascii="Arial" w:hAnsi="Arial"/>
          <w:sz w:val="24"/>
          <w:szCs w:val="24"/>
        </w:rPr>
        <w:t>continuing stagnation</w:t>
      </w:r>
      <w:r w:rsidR="0082748E">
        <w:rPr>
          <w:rFonts w:ascii="Arial" w:hAnsi="Arial"/>
          <w:sz w:val="24"/>
          <w:szCs w:val="24"/>
        </w:rPr>
        <w:t xml:space="preserve"> that has sh</w:t>
      </w:r>
      <w:r w:rsidR="00760C10">
        <w:rPr>
          <w:rFonts w:ascii="Arial" w:hAnsi="Arial"/>
          <w:sz w:val="24"/>
          <w:szCs w:val="24"/>
        </w:rPr>
        <w:t xml:space="preserve">rouded its economy over the past decade. </w:t>
      </w:r>
    </w:p>
    <w:p w14:paraId="7F36B83A" w14:textId="61D30533" w:rsidR="002009CC" w:rsidRDefault="004B3107" w:rsidP="00D85945">
      <w:pPr>
        <w:spacing w:after="390" w:line="240" w:lineRule="auto"/>
        <w:rPr>
          <w:rFonts w:ascii="Arial" w:hAnsi="Arial"/>
          <w:sz w:val="24"/>
          <w:szCs w:val="24"/>
        </w:rPr>
      </w:pPr>
      <w:r>
        <w:rPr>
          <w:rFonts w:ascii="Arial" w:hAnsi="Arial"/>
          <w:sz w:val="24"/>
          <w:szCs w:val="24"/>
        </w:rPr>
        <w:lastRenderedPageBreak/>
        <w:t xml:space="preserve">Moreover, </w:t>
      </w:r>
      <w:r w:rsidR="00440644">
        <w:rPr>
          <w:rFonts w:ascii="Arial" w:hAnsi="Arial"/>
          <w:sz w:val="24"/>
          <w:szCs w:val="24"/>
        </w:rPr>
        <w:t xml:space="preserve">given the competition for </w:t>
      </w:r>
      <w:r w:rsidR="00262D63">
        <w:rPr>
          <w:rFonts w:ascii="Arial" w:hAnsi="Arial"/>
          <w:sz w:val="24"/>
          <w:szCs w:val="24"/>
        </w:rPr>
        <w:t>public capital resources</w:t>
      </w:r>
      <w:r w:rsidR="00B91FC3">
        <w:rPr>
          <w:rFonts w:ascii="Arial" w:hAnsi="Arial"/>
          <w:sz w:val="24"/>
          <w:szCs w:val="24"/>
        </w:rPr>
        <w:t>,</w:t>
      </w:r>
      <w:r w:rsidR="00262D63">
        <w:rPr>
          <w:rFonts w:ascii="Arial" w:hAnsi="Arial"/>
          <w:sz w:val="24"/>
          <w:szCs w:val="24"/>
        </w:rPr>
        <w:t xml:space="preserve"> </w:t>
      </w:r>
      <w:r w:rsidR="006D7224">
        <w:rPr>
          <w:rFonts w:ascii="Arial" w:hAnsi="Arial"/>
          <w:sz w:val="24"/>
          <w:szCs w:val="24"/>
        </w:rPr>
        <w:t xml:space="preserve">and to avoid </w:t>
      </w:r>
      <w:r w:rsidR="00940EAD">
        <w:rPr>
          <w:rFonts w:ascii="Arial" w:hAnsi="Arial"/>
          <w:sz w:val="24"/>
          <w:szCs w:val="24"/>
        </w:rPr>
        <w:t xml:space="preserve">Councils and other </w:t>
      </w:r>
      <w:r w:rsidR="005364B9">
        <w:rPr>
          <w:rFonts w:ascii="Arial" w:hAnsi="Arial"/>
          <w:sz w:val="24"/>
          <w:szCs w:val="24"/>
        </w:rPr>
        <w:t xml:space="preserve">commissioning public authorities </w:t>
      </w:r>
      <w:r w:rsidR="006D7224">
        <w:rPr>
          <w:rFonts w:ascii="Arial" w:hAnsi="Arial"/>
          <w:sz w:val="24"/>
          <w:szCs w:val="24"/>
        </w:rPr>
        <w:t xml:space="preserve">reverting to </w:t>
      </w:r>
      <w:r w:rsidR="00CE6507">
        <w:rPr>
          <w:rFonts w:ascii="Arial" w:hAnsi="Arial"/>
          <w:sz w:val="24"/>
          <w:szCs w:val="24"/>
        </w:rPr>
        <w:t xml:space="preserve">private financing arrangements </w:t>
      </w:r>
      <w:r w:rsidR="005364B9">
        <w:rPr>
          <w:rFonts w:ascii="Arial" w:hAnsi="Arial"/>
          <w:sz w:val="24"/>
          <w:szCs w:val="24"/>
        </w:rPr>
        <w:t xml:space="preserve">involving </w:t>
      </w:r>
      <w:r w:rsidR="006D7224">
        <w:rPr>
          <w:rFonts w:ascii="Arial" w:hAnsi="Arial"/>
          <w:sz w:val="24"/>
          <w:szCs w:val="24"/>
        </w:rPr>
        <w:t xml:space="preserve">the ‘fiscal illusion’ </w:t>
      </w:r>
      <w:r w:rsidR="005364B9">
        <w:rPr>
          <w:rFonts w:ascii="Arial" w:hAnsi="Arial"/>
          <w:sz w:val="24"/>
          <w:szCs w:val="24"/>
        </w:rPr>
        <w:t xml:space="preserve">that </w:t>
      </w:r>
      <w:r w:rsidR="00486215">
        <w:rPr>
          <w:rFonts w:ascii="Arial" w:hAnsi="Arial"/>
          <w:sz w:val="24"/>
          <w:szCs w:val="24"/>
        </w:rPr>
        <w:t xml:space="preserve">so </w:t>
      </w:r>
      <w:r w:rsidR="001F77FD">
        <w:rPr>
          <w:rFonts w:ascii="Arial" w:hAnsi="Arial"/>
          <w:sz w:val="24"/>
          <w:szCs w:val="24"/>
        </w:rPr>
        <w:t>dogged PFI</w:t>
      </w:r>
      <w:r w:rsidR="00B91FC3">
        <w:rPr>
          <w:rFonts w:ascii="Arial" w:hAnsi="Arial"/>
          <w:sz w:val="24"/>
          <w:szCs w:val="24"/>
        </w:rPr>
        <w:t xml:space="preserve">, it is vital that </w:t>
      </w:r>
      <w:r w:rsidR="009C5324">
        <w:rPr>
          <w:rFonts w:ascii="Arial" w:hAnsi="Arial"/>
          <w:sz w:val="24"/>
          <w:szCs w:val="24"/>
        </w:rPr>
        <w:t>the reformed institutional environment applies to both social and economic infrastructure.</w:t>
      </w:r>
    </w:p>
    <w:p w14:paraId="18561264" w14:textId="44B37F09" w:rsidR="0051166F" w:rsidRPr="00CE2A4E" w:rsidRDefault="00CE2A4E" w:rsidP="00D85945">
      <w:pPr>
        <w:spacing w:after="390" w:line="240" w:lineRule="auto"/>
        <w:rPr>
          <w:rFonts w:ascii="Arial" w:hAnsi="Arial"/>
          <w:i/>
          <w:iCs/>
          <w:sz w:val="24"/>
          <w:szCs w:val="24"/>
        </w:rPr>
      </w:pPr>
      <w:r w:rsidRPr="00CE2A4E">
        <w:rPr>
          <w:rFonts w:ascii="Arial" w:hAnsi="Arial"/>
          <w:i/>
          <w:iCs/>
          <w:sz w:val="24"/>
          <w:szCs w:val="24"/>
        </w:rPr>
        <w:t>Recommendation 12</w:t>
      </w:r>
      <w:r w:rsidR="001B7B9C">
        <w:rPr>
          <w:rFonts w:ascii="Arial" w:hAnsi="Arial"/>
          <w:i/>
          <w:iCs/>
          <w:sz w:val="24"/>
          <w:szCs w:val="24"/>
        </w:rPr>
        <w:t>:</w:t>
      </w:r>
      <w:r w:rsidRPr="00CE2A4E">
        <w:rPr>
          <w:rFonts w:ascii="Arial" w:hAnsi="Arial"/>
          <w:i/>
          <w:iCs/>
          <w:sz w:val="24"/>
          <w:szCs w:val="24"/>
        </w:rPr>
        <w:t xml:space="preserve"> </w:t>
      </w:r>
    </w:p>
    <w:p w14:paraId="5C393366" w14:textId="032A7C7D" w:rsidR="00D85945" w:rsidRDefault="008261CC" w:rsidP="008261CC">
      <w:pPr>
        <w:spacing w:after="390" w:line="240" w:lineRule="auto"/>
        <w:ind w:left="720" w:hanging="720"/>
        <w:rPr>
          <w:rFonts w:ascii="Arial" w:hAnsi="Arial"/>
          <w:sz w:val="24"/>
          <w:szCs w:val="24"/>
        </w:rPr>
      </w:pPr>
      <w:r>
        <w:rPr>
          <w:rFonts w:ascii="Arial" w:hAnsi="Arial"/>
          <w:sz w:val="24"/>
          <w:szCs w:val="24"/>
        </w:rPr>
        <w:t>12.</w:t>
      </w:r>
      <w:r>
        <w:rPr>
          <w:rFonts w:ascii="Arial" w:hAnsi="Arial"/>
          <w:sz w:val="24"/>
          <w:szCs w:val="24"/>
        </w:rPr>
        <w:tab/>
        <w:t>T</w:t>
      </w:r>
      <w:r w:rsidR="00D85945" w:rsidRPr="00D85945">
        <w:rPr>
          <w:rFonts w:ascii="Arial" w:hAnsi="Arial"/>
          <w:sz w:val="24"/>
          <w:szCs w:val="24"/>
        </w:rPr>
        <w:t xml:space="preserve">he definition of infrastructural investment should be widened to </w:t>
      </w:r>
      <w:r>
        <w:rPr>
          <w:rFonts w:ascii="Arial" w:hAnsi="Arial"/>
          <w:sz w:val="24"/>
          <w:szCs w:val="24"/>
        </w:rPr>
        <w:t>cover social infrastructure</w:t>
      </w:r>
      <w:r w:rsidR="002009CC">
        <w:rPr>
          <w:rFonts w:ascii="Arial" w:hAnsi="Arial"/>
          <w:sz w:val="24"/>
          <w:szCs w:val="24"/>
        </w:rPr>
        <w:t>,</w:t>
      </w:r>
      <w:r>
        <w:rPr>
          <w:rFonts w:ascii="Arial" w:hAnsi="Arial"/>
          <w:sz w:val="24"/>
          <w:szCs w:val="24"/>
        </w:rPr>
        <w:t xml:space="preserve"> </w:t>
      </w:r>
      <w:r w:rsidR="00D85945" w:rsidRPr="00D85945">
        <w:rPr>
          <w:rFonts w:ascii="Arial" w:hAnsi="Arial"/>
          <w:sz w:val="24"/>
          <w:szCs w:val="24"/>
        </w:rPr>
        <w:t>includ</w:t>
      </w:r>
      <w:r>
        <w:rPr>
          <w:rFonts w:ascii="Arial" w:hAnsi="Arial"/>
          <w:sz w:val="24"/>
          <w:szCs w:val="24"/>
        </w:rPr>
        <w:t xml:space="preserve">ing </w:t>
      </w:r>
      <w:r w:rsidR="00D85945" w:rsidRPr="00D85945">
        <w:rPr>
          <w:rFonts w:ascii="Arial" w:hAnsi="Arial"/>
          <w:sz w:val="24"/>
          <w:szCs w:val="24"/>
        </w:rPr>
        <w:t xml:space="preserve">housing. </w:t>
      </w:r>
    </w:p>
    <w:p w14:paraId="6587AA50" w14:textId="420D3332" w:rsidR="0052074C" w:rsidRDefault="0052074C" w:rsidP="00D85945">
      <w:pPr>
        <w:spacing w:after="390" w:line="240" w:lineRule="auto"/>
        <w:rPr>
          <w:rFonts w:ascii="Arial" w:eastAsia="Times New Roman" w:hAnsi="Arial" w:cs="Times New Roman"/>
          <w:color w:val="666666"/>
          <w:sz w:val="24"/>
          <w:szCs w:val="24"/>
        </w:rPr>
      </w:pPr>
      <w:r w:rsidRPr="000E2D4A">
        <w:rPr>
          <w:rFonts w:ascii="Arial" w:hAnsi="Arial"/>
          <w:i/>
          <w:iCs/>
          <w:sz w:val="24"/>
          <w:szCs w:val="24"/>
        </w:rPr>
        <w:t>Section 5</w:t>
      </w:r>
      <w:r>
        <w:rPr>
          <w:rFonts w:ascii="Arial" w:hAnsi="Arial"/>
          <w:sz w:val="24"/>
          <w:szCs w:val="24"/>
        </w:rPr>
        <w:t xml:space="preserve"> of this submission points out that t</w:t>
      </w:r>
      <w:r w:rsidRPr="08DD1E8B">
        <w:rPr>
          <w:rFonts w:ascii="Arial" w:hAnsi="Arial"/>
          <w:sz w:val="24"/>
          <w:szCs w:val="24"/>
        </w:rPr>
        <w:t xml:space="preserve">he sheer scale of future infrastructural funding requirements means that in the absence of the development of alternative and innovative </w:t>
      </w:r>
      <w:r>
        <w:rPr>
          <w:rFonts w:ascii="Arial" w:hAnsi="Arial"/>
          <w:sz w:val="24"/>
          <w:szCs w:val="24"/>
        </w:rPr>
        <w:t xml:space="preserve">public </w:t>
      </w:r>
      <w:r w:rsidRPr="08DD1E8B">
        <w:rPr>
          <w:rFonts w:ascii="Arial" w:hAnsi="Arial"/>
          <w:sz w:val="24"/>
          <w:szCs w:val="24"/>
        </w:rPr>
        <w:t xml:space="preserve">funding mechanisms, many productive projects will not proceed, </w:t>
      </w:r>
      <w:r w:rsidR="0084247F">
        <w:rPr>
          <w:rFonts w:ascii="Arial" w:hAnsi="Arial"/>
          <w:sz w:val="24"/>
          <w:szCs w:val="24"/>
        </w:rPr>
        <w:t xml:space="preserve">even if </w:t>
      </w:r>
      <w:r w:rsidRPr="08DD1E8B">
        <w:rPr>
          <w:rFonts w:ascii="Arial" w:hAnsi="Arial"/>
          <w:sz w:val="24"/>
          <w:szCs w:val="24"/>
        </w:rPr>
        <w:t>a</w:t>
      </w:r>
      <w:r>
        <w:rPr>
          <w:rFonts w:ascii="Arial" w:hAnsi="Arial"/>
          <w:sz w:val="24"/>
          <w:szCs w:val="24"/>
        </w:rPr>
        <w:t xml:space="preserve">n effective </w:t>
      </w:r>
      <w:r w:rsidR="00666DBA">
        <w:rPr>
          <w:rFonts w:ascii="Arial" w:hAnsi="Arial"/>
          <w:sz w:val="24"/>
          <w:szCs w:val="24"/>
        </w:rPr>
        <w:t xml:space="preserve">and combined </w:t>
      </w:r>
      <w:r w:rsidRPr="08DD1E8B">
        <w:rPr>
          <w:rFonts w:ascii="Arial" w:hAnsi="Arial"/>
          <w:sz w:val="24"/>
          <w:szCs w:val="24"/>
        </w:rPr>
        <w:t>reformed fiscal rules framework</w:t>
      </w:r>
      <w:r>
        <w:rPr>
          <w:rFonts w:ascii="Arial" w:hAnsi="Arial"/>
          <w:sz w:val="24"/>
          <w:szCs w:val="24"/>
        </w:rPr>
        <w:t xml:space="preserve"> and infrastructural institutional environment</w:t>
      </w:r>
      <w:r w:rsidR="0084247F">
        <w:rPr>
          <w:rFonts w:ascii="Arial" w:hAnsi="Arial"/>
          <w:sz w:val="24"/>
          <w:szCs w:val="24"/>
        </w:rPr>
        <w:t xml:space="preserve"> as proposed in this submission</w:t>
      </w:r>
      <w:r w:rsidR="00D42425">
        <w:rPr>
          <w:rFonts w:ascii="Arial" w:hAnsi="Arial"/>
          <w:sz w:val="24"/>
          <w:szCs w:val="24"/>
        </w:rPr>
        <w:t>, is adopted.</w:t>
      </w:r>
      <w:r>
        <w:rPr>
          <w:rFonts w:ascii="Arial" w:eastAsia="Times New Roman" w:hAnsi="Arial" w:cs="Times New Roman"/>
          <w:color w:val="666666"/>
          <w:sz w:val="24"/>
          <w:szCs w:val="24"/>
        </w:rPr>
        <w:tab/>
      </w:r>
    </w:p>
    <w:p w14:paraId="67AC8466" w14:textId="1500D837" w:rsidR="00C91B6B" w:rsidRDefault="003A13C0" w:rsidP="00D85945">
      <w:pPr>
        <w:spacing w:after="390" w:line="240" w:lineRule="auto"/>
        <w:rPr>
          <w:rFonts w:ascii="Arial" w:hAnsi="Arial"/>
          <w:sz w:val="24"/>
          <w:szCs w:val="24"/>
        </w:rPr>
      </w:pPr>
      <w:r>
        <w:rPr>
          <w:rFonts w:ascii="Arial" w:hAnsi="Arial"/>
          <w:sz w:val="24"/>
          <w:szCs w:val="24"/>
        </w:rPr>
        <w:t>The true fiscal crisis should be recognized: the demand and need for productive public expenditures across both current and capital budgets will inevitably outstrip public willingness to pay th</w:t>
      </w:r>
      <w:r w:rsidR="00757CD6">
        <w:rPr>
          <w:rFonts w:ascii="Arial" w:hAnsi="Arial"/>
          <w:sz w:val="24"/>
          <w:szCs w:val="24"/>
        </w:rPr>
        <w:t>r</w:t>
      </w:r>
      <w:r>
        <w:rPr>
          <w:rFonts w:ascii="Arial" w:hAnsi="Arial"/>
          <w:sz w:val="24"/>
          <w:szCs w:val="24"/>
        </w:rPr>
        <w:t>ough efficient and salient sources of taxation</w:t>
      </w:r>
      <w:r w:rsidR="00757CD6">
        <w:rPr>
          <w:rFonts w:ascii="Arial" w:hAnsi="Arial"/>
          <w:sz w:val="24"/>
          <w:szCs w:val="24"/>
        </w:rPr>
        <w:t xml:space="preserve">, at least </w:t>
      </w:r>
      <w:r>
        <w:rPr>
          <w:rFonts w:ascii="Arial" w:hAnsi="Arial"/>
          <w:sz w:val="24"/>
          <w:szCs w:val="24"/>
        </w:rPr>
        <w:t xml:space="preserve">within </w:t>
      </w:r>
      <w:r w:rsidR="00D42425">
        <w:rPr>
          <w:rFonts w:ascii="Arial" w:hAnsi="Arial"/>
          <w:sz w:val="24"/>
          <w:szCs w:val="24"/>
        </w:rPr>
        <w:t xml:space="preserve">the current </w:t>
      </w:r>
      <w:r>
        <w:rPr>
          <w:rFonts w:ascii="Arial" w:hAnsi="Arial"/>
          <w:sz w:val="24"/>
          <w:szCs w:val="24"/>
        </w:rPr>
        <w:t>competitive political system</w:t>
      </w:r>
      <w:r w:rsidR="00D207C5">
        <w:rPr>
          <w:rFonts w:ascii="Arial" w:hAnsi="Arial"/>
          <w:sz w:val="24"/>
          <w:szCs w:val="24"/>
        </w:rPr>
        <w:t>,</w:t>
      </w:r>
      <w:r w:rsidR="00E806AA">
        <w:rPr>
          <w:rFonts w:ascii="Arial" w:hAnsi="Arial"/>
          <w:sz w:val="24"/>
          <w:szCs w:val="24"/>
        </w:rPr>
        <w:t xml:space="preserve"> focused mainly on the </w:t>
      </w:r>
      <w:r w:rsidR="00C91B6B">
        <w:rPr>
          <w:rFonts w:ascii="Arial" w:hAnsi="Arial"/>
          <w:sz w:val="24"/>
          <w:szCs w:val="24"/>
        </w:rPr>
        <w:t xml:space="preserve">electoral </w:t>
      </w:r>
      <w:r w:rsidR="00E806AA">
        <w:rPr>
          <w:rFonts w:ascii="Arial" w:hAnsi="Arial"/>
          <w:sz w:val="24"/>
          <w:szCs w:val="24"/>
        </w:rPr>
        <w:t>sh</w:t>
      </w:r>
      <w:r w:rsidR="00C91B6B">
        <w:rPr>
          <w:rFonts w:ascii="Arial" w:hAnsi="Arial"/>
          <w:sz w:val="24"/>
          <w:szCs w:val="24"/>
        </w:rPr>
        <w:t>ort-term</w:t>
      </w:r>
      <w:r>
        <w:rPr>
          <w:rFonts w:ascii="Arial" w:hAnsi="Arial"/>
          <w:sz w:val="24"/>
          <w:szCs w:val="24"/>
        </w:rPr>
        <w:t>.</w:t>
      </w:r>
    </w:p>
    <w:p w14:paraId="767000AE" w14:textId="1DD132CF" w:rsidR="003A13C0" w:rsidRPr="00D85945" w:rsidRDefault="00C91B6B" w:rsidP="00D85945">
      <w:pPr>
        <w:spacing w:after="390" w:line="240" w:lineRule="auto"/>
        <w:rPr>
          <w:rFonts w:ascii="Arial" w:hAnsi="Arial"/>
          <w:sz w:val="24"/>
          <w:szCs w:val="24"/>
        </w:rPr>
      </w:pPr>
      <w:r>
        <w:rPr>
          <w:rFonts w:ascii="Arial" w:hAnsi="Arial"/>
          <w:sz w:val="24"/>
          <w:szCs w:val="24"/>
        </w:rPr>
        <w:t>T</w:t>
      </w:r>
      <w:r w:rsidR="003A13C0">
        <w:rPr>
          <w:rFonts w:ascii="Arial" w:hAnsi="Arial"/>
          <w:sz w:val="24"/>
          <w:szCs w:val="24"/>
        </w:rPr>
        <w:t xml:space="preserve">he costs of providing infrastructural investment </w:t>
      </w:r>
      <w:r w:rsidR="00D207C5">
        <w:rPr>
          <w:rFonts w:ascii="Arial" w:hAnsi="Arial"/>
          <w:sz w:val="24"/>
          <w:szCs w:val="24"/>
        </w:rPr>
        <w:t>must</w:t>
      </w:r>
      <w:r w:rsidR="003A13C0">
        <w:rPr>
          <w:rFonts w:ascii="Arial" w:hAnsi="Arial"/>
          <w:sz w:val="24"/>
          <w:szCs w:val="24"/>
        </w:rPr>
        <w:t xml:space="preserve"> b</w:t>
      </w:r>
      <w:r>
        <w:rPr>
          <w:rFonts w:ascii="Arial" w:hAnsi="Arial"/>
          <w:sz w:val="24"/>
          <w:szCs w:val="24"/>
        </w:rPr>
        <w:t>e</w:t>
      </w:r>
      <w:r w:rsidR="003A13C0">
        <w:rPr>
          <w:rFonts w:ascii="Arial" w:hAnsi="Arial"/>
          <w:sz w:val="24"/>
          <w:szCs w:val="24"/>
        </w:rPr>
        <w:t xml:space="preserve"> reduced by </w:t>
      </w:r>
      <w:r w:rsidR="00A83EDE">
        <w:rPr>
          <w:rFonts w:ascii="Arial" w:hAnsi="Arial"/>
          <w:sz w:val="24"/>
          <w:szCs w:val="24"/>
        </w:rPr>
        <w:t xml:space="preserve">directly </w:t>
      </w:r>
      <w:r w:rsidR="003A13C0">
        <w:rPr>
          <w:rFonts w:ascii="Arial" w:hAnsi="Arial"/>
          <w:sz w:val="24"/>
          <w:szCs w:val="24"/>
        </w:rPr>
        <w:t xml:space="preserve">tackling market failure and rent-capture.    </w:t>
      </w:r>
    </w:p>
    <w:p w14:paraId="1975AB2C" w14:textId="02BE469E" w:rsidR="00D85945" w:rsidRPr="00D85945" w:rsidRDefault="00D85945" w:rsidP="00D85945">
      <w:pPr>
        <w:spacing w:after="390" w:line="240" w:lineRule="auto"/>
        <w:rPr>
          <w:rFonts w:ascii="Arial" w:hAnsi="Arial"/>
          <w:sz w:val="24"/>
          <w:szCs w:val="24"/>
        </w:rPr>
      </w:pPr>
      <w:r w:rsidRPr="00D85945">
        <w:rPr>
          <w:rFonts w:ascii="Arial" w:hAnsi="Arial"/>
          <w:sz w:val="24"/>
          <w:szCs w:val="24"/>
        </w:rPr>
        <w:t xml:space="preserve">Housing </w:t>
      </w:r>
      <w:r w:rsidR="00310254">
        <w:rPr>
          <w:rFonts w:ascii="Arial" w:hAnsi="Arial"/>
          <w:sz w:val="24"/>
          <w:szCs w:val="24"/>
        </w:rPr>
        <w:t>is</w:t>
      </w:r>
      <w:r w:rsidRPr="00D85945">
        <w:rPr>
          <w:rFonts w:ascii="Arial" w:hAnsi="Arial"/>
          <w:sz w:val="24"/>
          <w:szCs w:val="24"/>
        </w:rPr>
        <w:t xml:space="preserve"> a case in point where wider </w:t>
      </w:r>
      <w:r w:rsidR="009C5324">
        <w:rPr>
          <w:rFonts w:ascii="Arial" w:hAnsi="Arial"/>
          <w:sz w:val="24"/>
          <w:szCs w:val="24"/>
        </w:rPr>
        <w:t xml:space="preserve">entrenched and endemic </w:t>
      </w:r>
      <w:r w:rsidRPr="00D85945">
        <w:rPr>
          <w:rFonts w:ascii="Arial" w:hAnsi="Arial"/>
          <w:sz w:val="24"/>
          <w:szCs w:val="24"/>
        </w:rPr>
        <w:t xml:space="preserve">market failure requires more radical and comprehensive reform than </w:t>
      </w:r>
      <w:r w:rsidR="00954C34">
        <w:rPr>
          <w:rFonts w:ascii="Arial" w:hAnsi="Arial"/>
          <w:sz w:val="24"/>
          <w:szCs w:val="24"/>
        </w:rPr>
        <w:t>the</w:t>
      </w:r>
      <w:r w:rsidR="007978E4">
        <w:rPr>
          <w:rFonts w:ascii="Arial" w:hAnsi="Arial"/>
          <w:sz w:val="24"/>
          <w:szCs w:val="24"/>
        </w:rPr>
        <w:t xml:space="preserve"> </w:t>
      </w:r>
      <w:r w:rsidRPr="00D85945">
        <w:rPr>
          <w:rFonts w:ascii="Arial" w:hAnsi="Arial"/>
          <w:sz w:val="24"/>
          <w:szCs w:val="24"/>
        </w:rPr>
        <w:t>micro-reform</w:t>
      </w:r>
      <w:r w:rsidR="007978E4">
        <w:rPr>
          <w:rFonts w:ascii="Arial" w:hAnsi="Arial"/>
          <w:sz w:val="24"/>
          <w:szCs w:val="24"/>
        </w:rPr>
        <w:t>s</w:t>
      </w:r>
      <w:r w:rsidRPr="00D85945">
        <w:rPr>
          <w:rFonts w:ascii="Arial" w:hAnsi="Arial"/>
          <w:sz w:val="24"/>
          <w:szCs w:val="24"/>
        </w:rPr>
        <w:t xml:space="preserve"> to lending institutions</w:t>
      </w:r>
      <w:r w:rsidR="00954C34">
        <w:rPr>
          <w:rFonts w:ascii="Arial" w:hAnsi="Arial"/>
          <w:sz w:val="24"/>
          <w:szCs w:val="24"/>
        </w:rPr>
        <w:t xml:space="preserve"> and arrangements </w:t>
      </w:r>
      <w:r w:rsidR="009C5324">
        <w:rPr>
          <w:rFonts w:ascii="Arial" w:hAnsi="Arial"/>
          <w:sz w:val="24"/>
          <w:szCs w:val="24"/>
        </w:rPr>
        <w:t xml:space="preserve">that </w:t>
      </w:r>
      <w:r w:rsidR="00954C34">
        <w:rPr>
          <w:rFonts w:ascii="Arial" w:hAnsi="Arial"/>
          <w:sz w:val="24"/>
          <w:szCs w:val="24"/>
        </w:rPr>
        <w:t xml:space="preserve">the </w:t>
      </w:r>
      <w:r w:rsidR="00954C34" w:rsidRPr="00E92046">
        <w:rPr>
          <w:rFonts w:ascii="Arial" w:hAnsi="Arial"/>
          <w:i/>
          <w:iCs/>
          <w:sz w:val="24"/>
          <w:szCs w:val="24"/>
        </w:rPr>
        <w:t>Consultation f</w:t>
      </w:r>
      <w:r w:rsidR="00954C34">
        <w:rPr>
          <w:rFonts w:ascii="Arial" w:hAnsi="Arial"/>
          <w:sz w:val="24"/>
          <w:szCs w:val="24"/>
        </w:rPr>
        <w:t xml:space="preserve">ocused on. </w:t>
      </w:r>
    </w:p>
    <w:p w14:paraId="6112D2B5" w14:textId="3496CFBF" w:rsidR="005908CF" w:rsidRDefault="00D85945" w:rsidP="00D85945">
      <w:pPr>
        <w:spacing w:after="390" w:line="240" w:lineRule="auto"/>
        <w:rPr>
          <w:rFonts w:ascii="Arial" w:hAnsi="Arial"/>
          <w:sz w:val="24"/>
          <w:szCs w:val="24"/>
        </w:rPr>
      </w:pPr>
      <w:r w:rsidRPr="00D85945">
        <w:rPr>
          <w:rFonts w:ascii="Arial" w:hAnsi="Arial"/>
          <w:sz w:val="24"/>
          <w:szCs w:val="24"/>
        </w:rPr>
        <w:t>Th</w:t>
      </w:r>
      <w:r w:rsidR="007978E4">
        <w:rPr>
          <w:rFonts w:ascii="Arial" w:hAnsi="Arial"/>
          <w:sz w:val="24"/>
          <w:szCs w:val="24"/>
        </w:rPr>
        <w:t>ese</w:t>
      </w:r>
      <w:r w:rsidRPr="00D85945">
        <w:rPr>
          <w:rFonts w:ascii="Arial" w:hAnsi="Arial"/>
          <w:sz w:val="24"/>
          <w:szCs w:val="24"/>
        </w:rPr>
        <w:t xml:space="preserve"> could include reducing the cost of public investment by direct land value capture through the reform of the compulsory purchase rules, and the use of a public lending intermediary to channel capital to a wider range of private firms on a more steady-state rather than fluctuating cyclical basis, at minimal long-term public subsidy</w:t>
      </w:r>
      <w:r w:rsidR="00D500C8">
        <w:rPr>
          <w:rFonts w:ascii="Arial" w:hAnsi="Arial"/>
          <w:sz w:val="24"/>
          <w:szCs w:val="24"/>
        </w:rPr>
        <w:t>.</w:t>
      </w:r>
    </w:p>
    <w:p w14:paraId="31175FA7" w14:textId="77777777" w:rsidR="00BF6700" w:rsidRPr="006A7A69" w:rsidRDefault="00BF6700" w:rsidP="00BF6700">
      <w:pPr>
        <w:spacing w:after="390" w:line="240" w:lineRule="auto"/>
        <w:rPr>
          <w:rFonts w:ascii="Arial" w:hAnsi="Arial"/>
          <w:sz w:val="24"/>
          <w:szCs w:val="24"/>
        </w:rPr>
      </w:pPr>
      <w:bookmarkStart w:id="1" w:name="_Hlk524127085"/>
      <w:bookmarkEnd w:id="1"/>
      <w:r w:rsidRPr="006A7A69">
        <w:rPr>
          <w:rFonts w:ascii="Arial" w:hAnsi="Arial"/>
          <w:sz w:val="24"/>
          <w:szCs w:val="24"/>
        </w:rPr>
        <w:t>Likewise, the future long-term rental income and sales of a steady-state affordable housing programme could be securitised to provide collaterised backing for its public funding.</w:t>
      </w:r>
    </w:p>
    <w:p w14:paraId="68BD4648" w14:textId="748EFD28" w:rsidR="00BF6700" w:rsidRPr="006A7A69" w:rsidRDefault="00BF6700" w:rsidP="00BF6700">
      <w:pPr>
        <w:spacing w:after="390" w:line="240" w:lineRule="auto"/>
        <w:rPr>
          <w:rFonts w:ascii="Arial" w:hAnsi="Arial"/>
          <w:sz w:val="24"/>
          <w:szCs w:val="24"/>
        </w:rPr>
      </w:pPr>
      <w:r w:rsidRPr="006A7A69">
        <w:rPr>
          <w:rFonts w:ascii="Arial" w:hAnsi="Arial"/>
          <w:sz w:val="24"/>
          <w:szCs w:val="24"/>
        </w:rPr>
        <w:t>Land value capture linked to the extension of compulsory powers to acquire at existing use value and a maximum set premium would serve to reduce the land value component of new housing provision</w:t>
      </w:r>
      <w:r w:rsidR="00446DFD">
        <w:rPr>
          <w:rFonts w:ascii="Arial" w:hAnsi="Arial"/>
          <w:sz w:val="24"/>
          <w:szCs w:val="24"/>
        </w:rPr>
        <w:t>: a cost</w:t>
      </w:r>
      <w:r w:rsidRPr="006A7A69">
        <w:rPr>
          <w:rFonts w:ascii="Arial" w:hAnsi="Arial"/>
          <w:sz w:val="24"/>
          <w:szCs w:val="24"/>
        </w:rPr>
        <w:t xml:space="preserve"> that has</w:t>
      </w:r>
      <w:r w:rsidR="00446DFD">
        <w:rPr>
          <w:rFonts w:ascii="Arial" w:hAnsi="Arial"/>
          <w:sz w:val="24"/>
          <w:szCs w:val="24"/>
        </w:rPr>
        <w:t xml:space="preserve"> </w:t>
      </w:r>
      <w:r w:rsidRPr="006A7A69">
        <w:rPr>
          <w:rFonts w:ascii="Arial" w:hAnsi="Arial"/>
          <w:sz w:val="24"/>
          <w:szCs w:val="24"/>
        </w:rPr>
        <w:t xml:space="preserve">magnified since the mid-fifties. </w:t>
      </w:r>
    </w:p>
    <w:p w14:paraId="2823DB56" w14:textId="48CDAA73" w:rsidR="005D3AB8" w:rsidRDefault="00446DFD" w:rsidP="00092D4B">
      <w:pPr>
        <w:spacing w:after="390" w:line="240" w:lineRule="auto"/>
        <w:rPr>
          <w:rFonts w:ascii="Arial" w:hAnsi="Arial"/>
          <w:sz w:val="24"/>
          <w:szCs w:val="24"/>
        </w:rPr>
      </w:pPr>
      <w:r>
        <w:rPr>
          <w:rFonts w:ascii="Arial" w:hAnsi="Arial"/>
          <w:sz w:val="24"/>
          <w:szCs w:val="24"/>
        </w:rPr>
        <w:lastRenderedPageBreak/>
        <w:t>Similar s</w:t>
      </w:r>
      <w:r w:rsidR="00BF6700" w:rsidRPr="006A7A69">
        <w:rPr>
          <w:rFonts w:ascii="Arial" w:hAnsi="Arial"/>
          <w:sz w:val="24"/>
          <w:szCs w:val="24"/>
        </w:rPr>
        <w:t>ectoral strategies should be developed</w:t>
      </w:r>
      <w:r w:rsidR="00FC2487">
        <w:rPr>
          <w:rFonts w:ascii="Arial" w:hAnsi="Arial"/>
          <w:sz w:val="24"/>
          <w:szCs w:val="24"/>
        </w:rPr>
        <w:t xml:space="preserve"> </w:t>
      </w:r>
      <w:r w:rsidR="00BF6700" w:rsidRPr="006A7A69">
        <w:rPr>
          <w:rFonts w:ascii="Arial" w:hAnsi="Arial"/>
          <w:sz w:val="24"/>
          <w:szCs w:val="24"/>
        </w:rPr>
        <w:t xml:space="preserve">for life-long education, health, </w:t>
      </w:r>
      <w:r w:rsidR="00FC2487">
        <w:rPr>
          <w:rFonts w:ascii="Arial" w:hAnsi="Arial"/>
          <w:sz w:val="24"/>
          <w:szCs w:val="24"/>
        </w:rPr>
        <w:t xml:space="preserve">and medical research </w:t>
      </w:r>
      <w:r w:rsidR="000B5BE1">
        <w:rPr>
          <w:rFonts w:ascii="Arial" w:hAnsi="Arial"/>
          <w:sz w:val="24"/>
          <w:szCs w:val="24"/>
        </w:rPr>
        <w:t xml:space="preserve">and </w:t>
      </w:r>
      <w:r w:rsidR="0025262D">
        <w:rPr>
          <w:rFonts w:ascii="Arial" w:hAnsi="Arial"/>
          <w:sz w:val="24"/>
          <w:szCs w:val="24"/>
        </w:rPr>
        <w:t>other sectors</w:t>
      </w:r>
      <w:r w:rsidR="000B5BE1">
        <w:rPr>
          <w:rFonts w:ascii="Arial" w:hAnsi="Arial"/>
          <w:sz w:val="24"/>
          <w:szCs w:val="24"/>
        </w:rPr>
        <w:t>,</w:t>
      </w:r>
      <w:r w:rsidR="00DA15DB">
        <w:rPr>
          <w:rFonts w:ascii="Arial" w:hAnsi="Arial"/>
          <w:sz w:val="24"/>
          <w:szCs w:val="24"/>
        </w:rPr>
        <w:t xml:space="preserve"> </w:t>
      </w:r>
      <w:r w:rsidR="00235A60">
        <w:rPr>
          <w:rFonts w:ascii="Arial" w:hAnsi="Arial"/>
          <w:sz w:val="24"/>
          <w:szCs w:val="24"/>
        </w:rPr>
        <w:t>incorporated with the</w:t>
      </w:r>
      <w:r w:rsidR="00DA15DB">
        <w:rPr>
          <w:rFonts w:ascii="Arial" w:hAnsi="Arial"/>
          <w:sz w:val="24"/>
          <w:szCs w:val="24"/>
        </w:rPr>
        <w:t xml:space="preserve"> DIP </w:t>
      </w:r>
      <w:r w:rsidR="00EA5ADB">
        <w:rPr>
          <w:rFonts w:ascii="Arial" w:hAnsi="Arial"/>
          <w:sz w:val="24"/>
          <w:szCs w:val="24"/>
        </w:rPr>
        <w:t>process</w:t>
      </w:r>
      <w:r w:rsidR="000B5BE1">
        <w:rPr>
          <w:rFonts w:ascii="Arial" w:hAnsi="Arial"/>
          <w:sz w:val="24"/>
          <w:szCs w:val="24"/>
        </w:rPr>
        <w:t>,</w:t>
      </w:r>
      <w:r w:rsidR="00EA5ADB">
        <w:rPr>
          <w:rFonts w:ascii="Arial" w:hAnsi="Arial"/>
          <w:sz w:val="24"/>
          <w:szCs w:val="24"/>
        </w:rPr>
        <w:t xml:space="preserve"> </w:t>
      </w:r>
      <w:r w:rsidR="00E36EE3">
        <w:rPr>
          <w:rFonts w:ascii="Arial" w:hAnsi="Arial"/>
          <w:sz w:val="24"/>
          <w:szCs w:val="24"/>
        </w:rPr>
        <w:t xml:space="preserve">in accordance with </w:t>
      </w:r>
      <w:r w:rsidR="005D3AB8" w:rsidRPr="00560572">
        <w:rPr>
          <w:rFonts w:ascii="Arial" w:hAnsi="Arial"/>
          <w:i/>
          <w:iCs/>
          <w:sz w:val="24"/>
          <w:szCs w:val="24"/>
        </w:rPr>
        <w:t>recommendations 6 and 7</w:t>
      </w:r>
      <w:r w:rsidR="005D3AB8">
        <w:rPr>
          <w:rFonts w:ascii="Arial" w:hAnsi="Arial"/>
          <w:sz w:val="24"/>
          <w:szCs w:val="24"/>
        </w:rPr>
        <w:t>.</w:t>
      </w:r>
    </w:p>
    <w:p w14:paraId="36664711" w14:textId="516D6CD3" w:rsidR="005D3AB8" w:rsidRDefault="005D3AB8" w:rsidP="00092D4B">
      <w:pPr>
        <w:spacing w:after="390" w:line="240" w:lineRule="auto"/>
        <w:rPr>
          <w:rFonts w:ascii="Arial" w:hAnsi="Arial"/>
          <w:i/>
          <w:iCs/>
          <w:sz w:val="24"/>
          <w:szCs w:val="24"/>
        </w:rPr>
      </w:pPr>
      <w:r w:rsidRPr="005D3AB8">
        <w:rPr>
          <w:rFonts w:ascii="Arial" w:hAnsi="Arial"/>
          <w:i/>
          <w:iCs/>
          <w:sz w:val="24"/>
          <w:szCs w:val="24"/>
        </w:rPr>
        <w:t>Recommendation 13</w:t>
      </w:r>
      <w:r w:rsidR="001B7B9C">
        <w:rPr>
          <w:rFonts w:ascii="Arial" w:hAnsi="Arial"/>
          <w:i/>
          <w:iCs/>
          <w:sz w:val="24"/>
          <w:szCs w:val="24"/>
        </w:rPr>
        <w:t>:</w:t>
      </w:r>
    </w:p>
    <w:p w14:paraId="6DF4B1F1" w14:textId="52B4F269" w:rsidR="00F71F40" w:rsidRPr="005D3AB8" w:rsidRDefault="00F71F40" w:rsidP="00F71F40">
      <w:pPr>
        <w:spacing w:after="390" w:line="240" w:lineRule="auto"/>
        <w:ind w:left="720" w:hanging="720"/>
        <w:rPr>
          <w:rFonts w:ascii="Arial" w:hAnsi="Arial"/>
          <w:i/>
          <w:iCs/>
          <w:sz w:val="24"/>
          <w:szCs w:val="24"/>
        </w:rPr>
      </w:pPr>
      <w:r>
        <w:rPr>
          <w:rFonts w:ascii="Arial" w:hAnsi="Arial"/>
          <w:sz w:val="24"/>
          <w:szCs w:val="24"/>
        </w:rPr>
        <w:t>13</w:t>
      </w:r>
      <w:r>
        <w:rPr>
          <w:rFonts w:ascii="Arial" w:hAnsi="Arial"/>
          <w:sz w:val="24"/>
          <w:szCs w:val="24"/>
        </w:rPr>
        <w:tab/>
        <w:t>Sectoral and Departmental infrastructure strategies should identify, address, foster, and link to joined-up policy efforts to make public investment less costly in net public expenditure terms. This should be done, within the DIP process, by addressing market failures, inducing greater competition, and identifying innovative public funding mechanisms, with the support of the IPA and NIC.</w:t>
      </w:r>
    </w:p>
    <w:p w14:paraId="427BAF6F" w14:textId="41830196" w:rsidR="00E13131" w:rsidRDefault="004C05D9" w:rsidP="00E13131">
      <w:pPr>
        <w:spacing w:after="390" w:line="240" w:lineRule="auto"/>
        <w:rPr>
          <w:rFonts w:ascii="Arial" w:eastAsia="Times New Roman" w:hAnsi="Arial" w:cs="Times New Roman"/>
          <w:b/>
          <w:color w:val="666666"/>
          <w:sz w:val="24"/>
          <w:szCs w:val="24"/>
        </w:rPr>
      </w:pPr>
      <w:r w:rsidRPr="004C05D9">
        <w:rPr>
          <w:rFonts w:ascii="Arial" w:hAnsi="Arial"/>
          <w:i/>
          <w:iCs/>
          <w:sz w:val="24"/>
          <w:szCs w:val="24"/>
        </w:rPr>
        <w:t>Recommendation 14</w:t>
      </w:r>
      <w:r w:rsidR="001B7B9C">
        <w:rPr>
          <w:rFonts w:ascii="Arial" w:hAnsi="Arial"/>
          <w:i/>
          <w:iCs/>
          <w:sz w:val="24"/>
          <w:szCs w:val="24"/>
        </w:rPr>
        <w:t>:</w:t>
      </w:r>
      <w:r w:rsidRPr="004C05D9">
        <w:rPr>
          <w:rFonts w:ascii="Arial" w:hAnsi="Arial"/>
          <w:i/>
          <w:iCs/>
          <w:sz w:val="24"/>
          <w:szCs w:val="24"/>
        </w:rPr>
        <w:t xml:space="preserve"> </w:t>
      </w:r>
    </w:p>
    <w:p w14:paraId="1B66DDE1" w14:textId="03D6D59A" w:rsidR="002451AB" w:rsidRDefault="006D37B5" w:rsidP="006D37B5">
      <w:pPr>
        <w:spacing w:after="390" w:line="240" w:lineRule="auto"/>
        <w:ind w:left="720" w:hanging="720"/>
        <w:rPr>
          <w:rFonts w:ascii="Arial" w:hAnsi="Arial"/>
          <w:sz w:val="24"/>
          <w:szCs w:val="24"/>
        </w:rPr>
      </w:pPr>
      <w:r w:rsidRPr="00F71F40">
        <w:rPr>
          <w:rFonts w:ascii="Arial" w:hAnsi="Arial"/>
          <w:sz w:val="24"/>
          <w:szCs w:val="24"/>
        </w:rPr>
        <w:t>14.</w:t>
      </w:r>
      <w:r>
        <w:rPr>
          <w:rFonts w:ascii="Arial" w:eastAsia="Times New Roman" w:hAnsi="Arial" w:cs="Times New Roman"/>
          <w:b/>
          <w:color w:val="666666"/>
          <w:sz w:val="24"/>
          <w:szCs w:val="24"/>
        </w:rPr>
        <w:tab/>
      </w:r>
      <w:r w:rsidR="00134EEF" w:rsidRPr="00E13131">
        <w:rPr>
          <w:rFonts w:ascii="Arial" w:hAnsi="Arial"/>
          <w:sz w:val="24"/>
          <w:szCs w:val="24"/>
        </w:rPr>
        <w:t>Consideration should be given to the established of a dedicated funding interm</w:t>
      </w:r>
      <w:r w:rsidR="00A43569" w:rsidRPr="00E13131">
        <w:rPr>
          <w:rFonts w:ascii="Arial" w:hAnsi="Arial"/>
          <w:sz w:val="24"/>
          <w:szCs w:val="24"/>
        </w:rPr>
        <w:t>ediary</w:t>
      </w:r>
      <w:r w:rsidR="0049600F" w:rsidRPr="00E13131">
        <w:rPr>
          <w:rFonts w:ascii="Arial" w:hAnsi="Arial"/>
          <w:sz w:val="24"/>
          <w:szCs w:val="24"/>
        </w:rPr>
        <w:t xml:space="preserve"> that could take equity stakes in </w:t>
      </w:r>
      <w:r w:rsidR="00E01731" w:rsidRPr="00E13131">
        <w:rPr>
          <w:rFonts w:ascii="Arial" w:hAnsi="Arial"/>
          <w:sz w:val="24"/>
          <w:szCs w:val="24"/>
        </w:rPr>
        <w:t>economic and social infrastructure</w:t>
      </w:r>
      <w:r w:rsidR="006A6152">
        <w:rPr>
          <w:rFonts w:ascii="Arial" w:hAnsi="Arial"/>
          <w:sz w:val="24"/>
          <w:szCs w:val="24"/>
        </w:rPr>
        <w:t>,</w:t>
      </w:r>
      <w:r w:rsidR="00E01731" w:rsidRPr="00E13131">
        <w:rPr>
          <w:rFonts w:ascii="Arial" w:hAnsi="Arial"/>
          <w:sz w:val="24"/>
          <w:szCs w:val="24"/>
        </w:rPr>
        <w:t xml:space="preserve"> where </w:t>
      </w:r>
      <w:r w:rsidR="00FF422E" w:rsidRPr="00E13131">
        <w:rPr>
          <w:rFonts w:ascii="Arial" w:hAnsi="Arial"/>
          <w:sz w:val="24"/>
          <w:szCs w:val="24"/>
        </w:rPr>
        <w:t>long-term return (</w:t>
      </w:r>
      <w:r w:rsidR="00DB0294" w:rsidRPr="00E13131">
        <w:rPr>
          <w:rFonts w:ascii="Arial" w:hAnsi="Arial"/>
          <w:sz w:val="24"/>
          <w:szCs w:val="24"/>
        </w:rPr>
        <w:t xml:space="preserve">for example, </w:t>
      </w:r>
      <w:r w:rsidR="00FF422E" w:rsidRPr="00E13131">
        <w:rPr>
          <w:rFonts w:ascii="Arial" w:hAnsi="Arial"/>
          <w:sz w:val="24"/>
          <w:szCs w:val="24"/>
        </w:rPr>
        <w:t>linked to revenue str</w:t>
      </w:r>
      <w:r w:rsidR="00DB0294" w:rsidRPr="00E13131">
        <w:rPr>
          <w:rFonts w:ascii="Arial" w:hAnsi="Arial"/>
          <w:sz w:val="24"/>
          <w:szCs w:val="24"/>
        </w:rPr>
        <w:t>e</w:t>
      </w:r>
      <w:r w:rsidR="00FF422E" w:rsidRPr="00E13131">
        <w:rPr>
          <w:rFonts w:ascii="Arial" w:hAnsi="Arial"/>
          <w:sz w:val="24"/>
          <w:szCs w:val="24"/>
        </w:rPr>
        <w:t>ams, such as rents rising with inflation</w:t>
      </w:r>
      <w:r>
        <w:rPr>
          <w:rFonts w:ascii="Arial" w:hAnsi="Arial"/>
          <w:sz w:val="24"/>
          <w:szCs w:val="24"/>
        </w:rPr>
        <w:t xml:space="preserve">, </w:t>
      </w:r>
      <w:r w:rsidR="008319EC">
        <w:rPr>
          <w:rFonts w:ascii="Arial" w:hAnsi="Arial"/>
          <w:sz w:val="24"/>
          <w:szCs w:val="24"/>
        </w:rPr>
        <w:t xml:space="preserve">interest on loans, </w:t>
      </w:r>
      <w:r>
        <w:rPr>
          <w:rFonts w:ascii="Arial" w:hAnsi="Arial"/>
          <w:sz w:val="24"/>
          <w:szCs w:val="24"/>
        </w:rPr>
        <w:t>profit-shares</w:t>
      </w:r>
      <w:r w:rsidR="00DB0294" w:rsidRPr="00E13131">
        <w:rPr>
          <w:rFonts w:ascii="Arial" w:hAnsi="Arial"/>
          <w:sz w:val="24"/>
          <w:szCs w:val="24"/>
        </w:rPr>
        <w:t xml:space="preserve">) </w:t>
      </w:r>
      <w:r w:rsidR="00FF422E" w:rsidRPr="00E13131">
        <w:rPr>
          <w:rFonts w:ascii="Arial" w:hAnsi="Arial"/>
          <w:sz w:val="24"/>
          <w:szCs w:val="24"/>
        </w:rPr>
        <w:t xml:space="preserve">could be realized </w:t>
      </w:r>
      <w:r w:rsidR="004029D5">
        <w:rPr>
          <w:rFonts w:ascii="Arial" w:hAnsi="Arial"/>
          <w:sz w:val="24"/>
          <w:szCs w:val="24"/>
        </w:rPr>
        <w:t xml:space="preserve">and recycled across the lifetime of the project. </w:t>
      </w:r>
    </w:p>
    <w:p w14:paraId="362AFA61" w14:textId="77777777" w:rsidR="002451AB" w:rsidRDefault="002451AB">
      <w:pPr>
        <w:rPr>
          <w:rFonts w:ascii="Arial" w:eastAsia="Times New Roman" w:hAnsi="Arial" w:cs="Times New Roman"/>
          <w:bCs/>
          <w:color w:val="666666"/>
          <w:sz w:val="24"/>
          <w:szCs w:val="24"/>
        </w:rPr>
      </w:pPr>
      <w:r>
        <w:rPr>
          <w:rFonts w:ascii="Arial" w:eastAsia="Times New Roman" w:hAnsi="Arial" w:cs="Times New Roman"/>
          <w:bCs/>
          <w:color w:val="666666"/>
          <w:sz w:val="24"/>
          <w:szCs w:val="24"/>
        </w:rPr>
        <w:br w:type="page"/>
      </w:r>
    </w:p>
    <w:p w14:paraId="3B847534" w14:textId="09BFB8D3" w:rsidR="00B860DA" w:rsidRPr="002F0228" w:rsidRDefault="002451AB" w:rsidP="002451AB">
      <w:pPr>
        <w:spacing w:after="390" w:line="240" w:lineRule="auto"/>
        <w:ind w:left="720" w:hanging="720"/>
        <w:rPr>
          <w:b/>
          <w:bCs/>
          <w:color w:val="666666"/>
          <w:sz w:val="24"/>
          <w:szCs w:val="24"/>
        </w:rPr>
      </w:pPr>
      <w:r>
        <w:rPr>
          <w:rFonts w:ascii="Arial" w:eastAsia="Times New Roman" w:hAnsi="Arial" w:cs="Times New Roman"/>
          <w:b/>
          <w:color w:val="666666"/>
          <w:sz w:val="24"/>
          <w:szCs w:val="24"/>
        </w:rPr>
        <w:lastRenderedPageBreak/>
        <w:t>1</w:t>
      </w:r>
      <w:r>
        <w:rPr>
          <w:rFonts w:ascii="Arial" w:eastAsia="Times New Roman" w:hAnsi="Arial" w:cs="Times New Roman"/>
          <w:b/>
          <w:color w:val="666666"/>
          <w:sz w:val="24"/>
          <w:szCs w:val="24"/>
        </w:rPr>
        <w:tab/>
        <w:t xml:space="preserve">Introduction: </w:t>
      </w:r>
      <w:r w:rsidR="77A45D4B" w:rsidRPr="002F0228">
        <w:rPr>
          <w:rFonts w:ascii="Arial" w:eastAsia="Times New Roman" w:hAnsi="Arial" w:cs="Times New Roman"/>
          <w:b/>
          <w:color w:val="666666"/>
          <w:sz w:val="24"/>
          <w:szCs w:val="24"/>
        </w:rPr>
        <w:t>What is productive infrastructural investment and why it is economically important.</w:t>
      </w:r>
    </w:p>
    <w:p w14:paraId="14314F0C" w14:textId="0FD7B6FC" w:rsidR="00072B6C" w:rsidRPr="002E410F" w:rsidRDefault="00090424" w:rsidP="08DD1E8B">
      <w:pPr>
        <w:spacing w:after="390" w:line="240" w:lineRule="auto"/>
        <w:rPr>
          <w:rFonts w:ascii="Arial" w:hAnsi="Arial"/>
          <w:sz w:val="24"/>
          <w:szCs w:val="24"/>
        </w:rPr>
      </w:pPr>
      <w:r w:rsidRPr="002E410F">
        <w:rPr>
          <w:rFonts w:ascii="Arial" w:hAnsi="Arial"/>
          <w:sz w:val="24"/>
          <w:szCs w:val="24"/>
        </w:rPr>
        <w:t>Increased p</w:t>
      </w:r>
      <w:r w:rsidR="00A90127" w:rsidRPr="002E410F">
        <w:rPr>
          <w:rFonts w:ascii="Arial" w:hAnsi="Arial"/>
          <w:sz w:val="24"/>
          <w:szCs w:val="24"/>
        </w:rPr>
        <w:t xml:space="preserve">roductivity – broadly defined as </w:t>
      </w:r>
      <w:r w:rsidR="00B76129" w:rsidRPr="002E410F">
        <w:rPr>
          <w:rFonts w:ascii="Arial" w:hAnsi="Arial"/>
          <w:sz w:val="24"/>
          <w:szCs w:val="24"/>
        </w:rPr>
        <w:t xml:space="preserve">the amount of output produced </w:t>
      </w:r>
      <w:r w:rsidR="004915BB" w:rsidRPr="002E410F">
        <w:rPr>
          <w:rFonts w:ascii="Arial" w:hAnsi="Arial"/>
          <w:sz w:val="24"/>
          <w:szCs w:val="24"/>
        </w:rPr>
        <w:t>per person</w:t>
      </w:r>
      <w:r w:rsidR="00163279" w:rsidRPr="002E410F">
        <w:rPr>
          <w:rFonts w:ascii="Arial" w:hAnsi="Arial"/>
          <w:sz w:val="24"/>
          <w:szCs w:val="24"/>
        </w:rPr>
        <w:t xml:space="preserve"> per hour</w:t>
      </w:r>
      <w:r w:rsidR="004915BB" w:rsidRPr="002E410F">
        <w:rPr>
          <w:rFonts w:ascii="Arial" w:hAnsi="Arial"/>
          <w:sz w:val="24"/>
          <w:szCs w:val="24"/>
        </w:rPr>
        <w:t xml:space="preserve"> </w:t>
      </w:r>
      <w:r w:rsidRPr="002E410F">
        <w:rPr>
          <w:rFonts w:ascii="Arial" w:hAnsi="Arial"/>
          <w:sz w:val="24"/>
          <w:szCs w:val="24"/>
        </w:rPr>
        <w:t>–</w:t>
      </w:r>
      <w:r w:rsidR="004915BB" w:rsidRPr="002E410F">
        <w:rPr>
          <w:rFonts w:ascii="Arial" w:hAnsi="Arial"/>
          <w:sz w:val="24"/>
          <w:szCs w:val="24"/>
        </w:rPr>
        <w:t xml:space="preserve"> </w:t>
      </w:r>
      <w:r w:rsidRPr="002E410F">
        <w:rPr>
          <w:rFonts w:ascii="Arial" w:hAnsi="Arial"/>
          <w:sz w:val="24"/>
          <w:szCs w:val="24"/>
        </w:rPr>
        <w:t>is key to r</w:t>
      </w:r>
      <w:r w:rsidR="00556FC3" w:rsidRPr="002E410F">
        <w:rPr>
          <w:rFonts w:ascii="Arial" w:hAnsi="Arial"/>
          <w:sz w:val="24"/>
          <w:szCs w:val="24"/>
        </w:rPr>
        <w:t xml:space="preserve">aising living standards and the quality of life. </w:t>
      </w:r>
    </w:p>
    <w:p w14:paraId="2A51FE75" w14:textId="435FF461" w:rsidR="00747C0E" w:rsidRPr="002E410F" w:rsidRDefault="00D30FDF" w:rsidP="08DD1E8B">
      <w:pPr>
        <w:spacing w:after="390" w:line="240" w:lineRule="auto"/>
        <w:rPr>
          <w:rFonts w:ascii="Arial" w:hAnsi="Arial"/>
          <w:sz w:val="24"/>
          <w:szCs w:val="24"/>
        </w:rPr>
      </w:pPr>
      <w:r w:rsidRPr="002E410F">
        <w:rPr>
          <w:rFonts w:ascii="Arial" w:hAnsi="Arial"/>
          <w:sz w:val="24"/>
          <w:szCs w:val="24"/>
        </w:rPr>
        <w:t xml:space="preserve">This is because </w:t>
      </w:r>
      <w:r w:rsidR="00197722" w:rsidRPr="002E410F">
        <w:rPr>
          <w:rFonts w:ascii="Arial" w:hAnsi="Arial"/>
          <w:sz w:val="24"/>
          <w:szCs w:val="24"/>
        </w:rPr>
        <w:t>changes in productivity</w:t>
      </w:r>
      <w:r w:rsidRPr="002E410F">
        <w:rPr>
          <w:rFonts w:ascii="Arial" w:hAnsi="Arial"/>
          <w:sz w:val="24"/>
          <w:szCs w:val="24"/>
        </w:rPr>
        <w:t xml:space="preserve"> is very closely related to </w:t>
      </w:r>
      <w:r w:rsidR="009610E8" w:rsidRPr="002E410F">
        <w:rPr>
          <w:rFonts w:ascii="Arial" w:hAnsi="Arial"/>
          <w:sz w:val="24"/>
          <w:szCs w:val="24"/>
        </w:rPr>
        <w:t>Gross Domestic Product (GDP)</w:t>
      </w:r>
      <w:r w:rsidR="00822364" w:rsidRPr="002E410F">
        <w:rPr>
          <w:rFonts w:ascii="Arial" w:hAnsi="Arial"/>
          <w:sz w:val="24"/>
          <w:szCs w:val="24"/>
        </w:rPr>
        <w:t xml:space="preserve"> per capita</w:t>
      </w:r>
      <w:r w:rsidR="0071401C" w:rsidRPr="002E410F">
        <w:rPr>
          <w:rFonts w:ascii="Arial" w:hAnsi="Arial"/>
          <w:sz w:val="24"/>
          <w:szCs w:val="24"/>
        </w:rPr>
        <w:t xml:space="preserve">. </w:t>
      </w:r>
      <w:r w:rsidR="001F591D" w:rsidRPr="002E410F">
        <w:rPr>
          <w:rFonts w:ascii="Arial" w:hAnsi="Arial"/>
          <w:sz w:val="24"/>
          <w:szCs w:val="24"/>
        </w:rPr>
        <w:t xml:space="preserve">It </w:t>
      </w:r>
      <w:r w:rsidR="008357A4" w:rsidRPr="002E410F">
        <w:rPr>
          <w:rFonts w:ascii="Arial" w:hAnsi="Arial"/>
          <w:sz w:val="24"/>
          <w:szCs w:val="24"/>
        </w:rPr>
        <w:t xml:space="preserve">drives </w:t>
      </w:r>
      <w:r w:rsidR="001D69DA" w:rsidRPr="002E410F">
        <w:rPr>
          <w:rFonts w:ascii="Arial" w:hAnsi="Arial"/>
          <w:sz w:val="24"/>
          <w:szCs w:val="24"/>
        </w:rPr>
        <w:t>economic growth.</w:t>
      </w:r>
      <w:r w:rsidR="001F591D" w:rsidRPr="002E410F">
        <w:rPr>
          <w:rFonts w:ascii="Arial" w:hAnsi="Arial"/>
          <w:sz w:val="24"/>
          <w:szCs w:val="24"/>
        </w:rPr>
        <w:t xml:space="preserve"> </w:t>
      </w:r>
      <w:r w:rsidR="00463032" w:rsidRPr="002E410F">
        <w:rPr>
          <w:rFonts w:ascii="Arial" w:hAnsi="Arial"/>
          <w:sz w:val="24"/>
          <w:szCs w:val="24"/>
        </w:rPr>
        <w:t xml:space="preserve">Measures of household income tend to track </w:t>
      </w:r>
      <w:r w:rsidR="00D15E6E" w:rsidRPr="002E410F">
        <w:rPr>
          <w:rFonts w:ascii="Arial" w:hAnsi="Arial"/>
          <w:sz w:val="24"/>
          <w:szCs w:val="24"/>
        </w:rPr>
        <w:t>it</w:t>
      </w:r>
      <w:r w:rsidR="00463032" w:rsidRPr="002E410F">
        <w:rPr>
          <w:rFonts w:ascii="Arial" w:hAnsi="Arial"/>
          <w:sz w:val="24"/>
          <w:szCs w:val="24"/>
        </w:rPr>
        <w:t xml:space="preserve"> over-time.</w:t>
      </w:r>
    </w:p>
    <w:p w14:paraId="1753E629" w14:textId="77777777" w:rsidR="00DA703E" w:rsidRPr="002E410F" w:rsidRDefault="00C50A31" w:rsidP="08DD1E8B">
      <w:pPr>
        <w:spacing w:after="390" w:line="240" w:lineRule="auto"/>
        <w:rPr>
          <w:rFonts w:ascii="Arial" w:hAnsi="Arial"/>
          <w:sz w:val="24"/>
          <w:szCs w:val="24"/>
        </w:rPr>
      </w:pPr>
      <w:r w:rsidRPr="002E410F">
        <w:rPr>
          <w:rFonts w:ascii="Arial" w:hAnsi="Arial"/>
          <w:sz w:val="24"/>
          <w:szCs w:val="24"/>
        </w:rPr>
        <w:t>The rate and composition of e</w:t>
      </w:r>
      <w:r w:rsidR="001D69DA" w:rsidRPr="002E410F">
        <w:rPr>
          <w:rFonts w:ascii="Arial" w:hAnsi="Arial"/>
          <w:sz w:val="24"/>
          <w:szCs w:val="24"/>
        </w:rPr>
        <w:t>conomic growth</w:t>
      </w:r>
      <w:r w:rsidR="005E1803" w:rsidRPr="002E410F">
        <w:rPr>
          <w:rFonts w:ascii="Arial" w:hAnsi="Arial"/>
          <w:sz w:val="24"/>
          <w:szCs w:val="24"/>
        </w:rPr>
        <w:t xml:space="preserve"> </w:t>
      </w:r>
      <w:r w:rsidR="00820C07" w:rsidRPr="002E410F">
        <w:rPr>
          <w:rFonts w:ascii="Arial" w:hAnsi="Arial"/>
          <w:sz w:val="24"/>
          <w:szCs w:val="24"/>
        </w:rPr>
        <w:t>determines the amount of resources available to be shared between</w:t>
      </w:r>
      <w:r w:rsidR="00DA703E" w:rsidRPr="002E410F">
        <w:rPr>
          <w:rFonts w:ascii="Arial" w:hAnsi="Arial"/>
          <w:sz w:val="24"/>
          <w:szCs w:val="24"/>
        </w:rPr>
        <w:t>:</w:t>
      </w:r>
    </w:p>
    <w:p w14:paraId="668BFC3F" w14:textId="77777777" w:rsidR="00DA703E" w:rsidRPr="002E410F" w:rsidRDefault="00AF2AEB" w:rsidP="00DA703E">
      <w:pPr>
        <w:pStyle w:val="ListParagraph"/>
        <w:numPr>
          <w:ilvl w:val="0"/>
          <w:numId w:val="12"/>
        </w:numPr>
        <w:spacing w:after="390" w:line="240" w:lineRule="auto"/>
        <w:rPr>
          <w:rFonts w:ascii="Arial" w:hAnsi="Arial"/>
          <w:sz w:val="24"/>
          <w:szCs w:val="24"/>
        </w:rPr>
      </w:pPr>
      <w:r w:rsidRPr="002E410F">
        <w:rPr>
          <w:rFonts w:ascii="Arial" w:hAnsi="Arial"/>
          <w:sz w:val="24"/>
          <w:szCs w:val="24"/>
        </w:rPr>
        <w:t xml:space="preserve">private </w:t>
      </w:r>
      <w:r w:rsidR="00820C07" w:rsidRPr="002E410F">
        <w:rPr>
          <w:rFonts w:ascii="Arial" w:hAnsi="Arial"/>
          <w:sz w:val="24"/>
          <w:szCs w:val="24"/>
        </w:rPr>
        <w:t>consumption</w:t>
      </w:r>
      <w:r w:rsidR="00DA703E" w:rsidRPr="002E410F">
        <w:rPr>
          <w:rFonts w:ascii="Arial" w:hAnsi="Arial"/>
          <w:sz w:val="24"/>
          <w:szCs w:val="24"/>
        </w:rPr>
        <w:t>;</w:t>
      </w:r>
    </w:p>
    <w:p w14:paraId="53F1004F" w14:textId="77777777" w:rsidR="00257BD8" w:rsidRPr="002E410F" w:rsidRDefault="00AF2AEB" w:rsidP="00DA703E">
      <w:pPr>
        <w:pStyle w:val="ListParagraph"/>
        <w:numPr>
          <w:ilvl w:val="0"/>
          <w:numId w:val="12"/>
        </w:numPr>
        <w:spacing w:after="390" w:line="240" w:lineRule="auto"/>
        <w:rPr>
          <w:rFonts w:ascii="Arial" w:hAnsi="Arial"/>
          <w:sz w:val="24"/>
          <w:szCs w:val="24"/>
        </w:rPr>
      </w:pPr>
      <w:r w:rsidRPr="002E410F">
        <w:rPr>
          <w:rFonts w:ascii="Arial" w:hAnsi="Arial"/>
          <w:sz w:val="24"/>
          <w:szCs w:val="24"/>
        </w:rPr>
        <w:t>publi</w:t>
      </w:r>
      <w:r w:rsidR="00E77E1F" w:rsidRPr="002E410F">
        <w:rPr>
          <w:rFonts w:ascii="Arial" w:hAnsi="Arial"/>
          <w:sz w:val="24"/>
          <w:szCs w:val="24"/>
        </w:rPr>
        <w:t xml:space="preserve">c </w:t>
      </w:r>
      <w:r w:rsidR="00463032" w:rsidRPr="002E410F">
        <w:rPr>
          <w:rFonts w:ascii="Arial" w:hAnsi="Arial"/>
          <w:sz w:val="24"/>
          <w:szCs w:val="24"/>
        </w:rPr>
        <w:t xml:space="preserve">spending </w:t>
      </w:r>
      <w:r w:rsidR="00E77E1F" w:rsidRPr="002E410F">
        <w:rPr>
          <w:rFonts w:ascii="Arial" w:hAnsi="Arial"/>
          <w:sz w:val="24"/>
          <w:szCs w:val="24"/>
        </w:rPr>
        <w:t>on services</w:t>
      </w:r>
      <w:r w:rsidR="007648F1" w:rsidRPr="002E410F">
        <w:rPr>
          <w:rFonts w:ascii="Arial" w:hAnsi="Arial"/>
          <w:sz w:val="24"/>
          <w:szCs w:val="24"/>
        </w:rPr>
        <w:t>, including education, health, social security, and housing, and</w:t>
      </w:r>
      <w:r w:rsidR="00257BD8" w:rsidRPr="002E410F">
        <w:rPr>
          <w:rFonts w:ascii="Arial" w:hAnsi="Arial"/>
          <w:sz w:val="24"/>
          <w:szCs w:val="24"/>
        </w:rPr>
        <w:t>;</w:t>
      </w:r>
    </w:p>
    <w:p w14:paraId="4D19ADCE" w14:textId="5FA5BABA" w:rsidR="00850379" w:rsidRPr="002E410F" w:rsidRDefault="00701590" w:rsidP="00DA703E">
      <w:pPr>
        <w:pStyle w:val="ListParagraph"/>
        <w:numPr>
          <w:ilvl w:val="0"/>
          <w:numId w:val="12"/>
        </w:numPr>
        <w:spacing w:after="390" w:line="240" w:lineRule="auto"/>
        <w:rPr>
          <w:rFonts w:ascii="Arial" w:hAnsi="Arial"/>
          <w:sz w:val="24"/>
          <w:szCs w:val="24"/>
        </w:rPr>
      </w:pPr>
      <w:r w:rsidRPr="002E410F">
        <w:rPr>
          <w:rFonts w:ascii="Arial" w:hAnsi="Arial"/>
          <w:sz w:val="24"/>
          <w:szCs w:val="24"/>
        </w:rPr>
        <w:t>public and private investment</w:t>
      </w:r>
      <w:r w:rsidR="00197722" w:rsidRPr="002E410F">
        <w:rPr>
          <w:rFonts w:ascii="Arial" w:hAnsi="Arial"/>
          <w:sz w:val="24"/>
          <w:szCs w:val="24"/>
        </w:rPr>
        <w:t xml:space="preserve"> in </w:t>
      </w:r>
      <w:r w:rsidR="000B3222" w:rsidRPr="002E410F">
        <w:rPr>
          <w:rFonts w:ascii="Arial" w:hAnsi="Arial"/>
          <w:sz w:val="24"/>
          <w:szCs w:val="24"/>
        </w:rPr>
        <w:t>n</w:t>
      </w:r>
      <w:r w:rsidR="00197722" w:rsidRPr="002E410F">
        <w:rPr>
          <w:rFonts w:ascii="Arial" w:hAnsi="Arial"/>
          <w:sz w:val="24"/>
          <w:szCs w:val="24"/>
        </w:rPr>
        <w:t xml:space="preserve">ew </w:t>
      </w:r>
      <w:r w:rsidR="002171F1" w:rsidRPr="002E410F">
        <w:rPr>
          <w:rFonts w:ascii="Arial" w:hAnsi="Arial"/>
          <w:sz w:val="24"/>
          <w:szCs w:val="24"/>
        </w:rPr>
        <w:t xml:space="preserve">and even more </w:t>
      </w:r>
      <w:r w:rsidR="00197722" w:rsidRPr="002E410F">
        <w:rPr>
          <w:rFonts w:ascii="Arial" w:hAnsi="Arial"/>
          <w:sz w:val="24"/>
          <w:szCs w:val="24"/>
        </w:rPr>
        <w:t xml:space="preserve">productive capacity and infrastructure, both economic and </w:t>
      </w:r>
      <w:r w:rsidR="000B3222" w:rsidRPr="002E410F">
        <w:rPr>
          <w:rFonts w:ascii="Arial" w:hAnsi="Arial"/>
          <w:sz w:val="24"/>
          <w:szCs w:val="24"/>
        </w:rPr>
        <w:t>social</w:t>
      </w:r>
      <w:r w:rsidRPr="002E410F">
        <w:rPr>
          <w:rFonts w:ascii="Arial" w:hAnsi="Arial"/>
          <w:sz w:val="24"/>
          <w:szCs w:val="24"/>
        </w:rPr>
        <w:t>.</w:t>
      </w:r>
    </w:p>
    <w:p w14:paraId="609E19F2" w14:textId="77777777" w:rsidR="00257BD8" w:rsidRPr="002E410F" w:rsidRDefault="08DD1E8B" w:rsidP="08DD1E8B">
      <w:pPr>
        <w:spacing w:after="390" w:line="240" w:lineRule="auto"/>
        <w:rPr>
          <w:rFonts w:ascii="Arial" w:hAnsi="Arial"/>
          <w:sz w:val="24"/>
          <w:szCs w:val="24"/>
        </w:rPr>
      </w:pPr>
      <w:r w:rsidRPr="002E410F">
        <w:rPr>
          <w:rFonts w:ascii="Arial" w:hAnsi="Arial"/>
          <w:sz w:val="24"/>
          <w:szCs w:val="24"/>
        </w:rPr>
        <w:t>Transformative economic growth</w:t>
      </w:r>
      <w:r w:rsidR="00F01727" w:rsidRPr="002E410F">
        <w:rPr>
          <w:rFonts w:ascii="Arial" w:hAnsi="Arial"/>
          <w:sz w:val="24"/>
          <w:szCs w:val="24"/>
        </w:rPr>
        <w:t xml:space="preserve"> </w:t>
      </w:r>
      <w:r w:rsidR="00AA4287" w:rsidRPr="002E410F">
        <w:rPr>
          <w:rFonts w:ascii="Arial" w:hAnsi="Arial"/>
          <w:sz w:val="24"/>
          <w:szCs w:val="24"/>
        </w:rPr>
        <w:t xml:space="preserve">requires </w:t>
      </w:r>
      <w:r w:rsidRPr="002E410F">
        <w:rPr>
          <w:rFonts w:ascii="Arial" w:hAnsi="Arial"/>
          <w:sz w:val="24"/>
          <w:szCs w:val="24"/>
        </w:rPr>
        <w:t>the establishment of infrastructural transport, energy and communication networks</w:t>
      </w:r>
      <w:r w:rsidR="00257BD8" w:rsidRPr="002E410F">
        <w:rPr>
          <w:rFonts w:ascii="Arial" w:hAnsi="Arial"/>
          <w:sz w:val="24"/>
          <w:szCs w:val="24"/>
        </w:rPr>
        <w:t>.</w:t>
      </w:r>
    </w:p>
    <w:p w14:paraId="700FFB22" w14:textId="27B8014E" w:rsidR="72CD9B1B" w:rsidRPr="002E410F" w:rsidRDefault="00257BD8" w:rsidP="08DD1E8B">
      <w:pPr>
        <w:spacing w:after="390" w:line="240" w:lineRule="auto"/>
        <w:rPr>
          <w:rFonts w:ascii="Arial" w:hAnsi="Arial"/>
          <w:sz w:val="24"/>
          <w:szCs w:val="24"/>
        </w:rPr>
      </w:pPr>
      <w:r w:rsidRPr="002E410F">
        <w:rPr>
          <w:rFonts w:ascii="Arial" w:hAnsi="Arial"/>
          <w:sz w:val="24"/>
          <w:szCs w:val="24"/>
        </w:rPr>
        <w:t>Such networks</w:t>
      </w:r>
      <w:r w:rsidR="08DD1E8B" w:rsidRPr="002E410F">
        <w:rPr>
          <w:rFonts w:ascii="Arial" w:hAnsi="Arial"/>
          <w:sz w:val="24"/>
          <w:szCs w:val="24"/>
        </w:rPr>
        <w:t xml:space="preserve"> allow and enable the effective and efficient movement of goods and people, the powering of factories and enterprises, </w:t>
      </w:r>
      <w:r w:rsidR="00B133C7" w:rsidRPr="002E410F">
        <w:rPr>
          <w:rFonts w:ascii="Arial" w:hAnsi="Arial"/>
          <w:sz w:val="24"/>
          <w:szCs w:val="24"/>
        </w:rPr>
        <w:t xml:space="preserve">and </w:t>
      </w:r>
      <w:r w:rsidR="08DD1E8B" w:rsidRPr="002E410F">
        <w:rPr>
          <w:rFonts w:ascii="Arial" w:hAnsi="Arial"/>
          <w:sz w:val="24"/>
          <w:szCs w:val="24"/>
        </w:rPr>
        <w:t>the sharing of commercial-critical information</w:t>
      </w:r>
      <w:r w:rsidR="00C81C02" w:rsidRPr="002E410F">
        <w:rPr>
          <w:rFonts w:ascii="Arial" w:hAnsi="Arial"/>
          <w:sz w:val="24"/>
          <w:szCs w:val="24"/>
        </w:rPr>
        <w:t>.</w:t>
      </w:r>
      <w:r w:rsidR="08DD1E8B" w:rsidRPr="002E410F">
        <w:rPr>
          <w:rFonts w:ascii="Arial" w:hAnsi="Arial"/>
          <w:sz w:val="24"/>
          <w:szCs w:val="24"/>
        </w:rPr>
        <w:t xml:space="preserve"> </w:t>
      </w:r>
    </w:p>
    <w:p w14:paraId="3A868291" w14:textId="1D35F884" w:rsidR="00C86482" w:rsidRPr="002E410F" w:rsidRDefault="143A5A29" w:rsidP="143A5A29">
      <w:pPr>
        <w:spacing w:after="390" w:line="240" w:lineRule="auto"/>
        <w:rPr>
          <w:rFonts w:ascii="Arial" w:hAnsi="Arial"/>
          <w:sz w:val="24"/>
          <w:szCs w:val="24"/>
        </w:rPr>
      </w:pPr>
      <w:r w:rsidRPr="002E410F">
        <w:rPr>
          <w:rFonts w:ascii="Arial" w:hAnsi="Arial"/>
          <w:sz w:val="24"/>
          <w:szCs w:val="24"/>
        </w:rPr>
        <w:t>The industrial transformation of the UK, German, and US economies</w:t>
      </w:r>
      <w:r w:rsidR="00CB2A92" w:rsidRPr="002E410F">
        <w:rPr>
          <w:rFonts w:ascii="Arial" w:hAnsi="Arial"/>
          <w:sz w:val="24"/>
          <w:szCs w:val="24"/>
        </w:rPr>
        <w:t xml:space="preserve"> in the nineteenth century</w:t>
      </w:r>
      <w:r w:rsidRPr="002E410F">
        <w:rPr>
          <w:rFonts w:ascii="Arial" w:hAnsi="Arial"/>
          <w:sz w:val="24"/>
          <w:szCs w:val="24"/>
        </w:rPr>
        <w:t xml:space="preserve">, </w:t>
      </w:r>
      <w:r w:rsidR="00B660B7">
        <w:rPr>
          <w:rFonts w:ascii="Arial" w:hAnsi="Arial"/>
          <w:sz w:val="24"/>
          <w:szCs w:val="24"/>
        </w:rPr>
        <w:t xml:space="preserve">and then </w:t>
      </w:r>
      <w:r w:rsidR="00A758AB" w:rsidRPr="002E410F">
        <w:rPr>
          <w:rFonts w:ascii="Arial" w:hAnsi="Arial"/>
          <w:sz w:val="24"/>
          <w:szCs w:val="24"/>
        </w:rPr>
        <w:t xml:space="preserve">the East </w:t>
      </w:r>
      <w:r w:rsidRPr="002E410F">
        <w:rPr>
          <w:rFonts w:ascii="Arial" w:hAnsi="Arial"/>
          <w:sz w:val="24"/>
          <w:szCs w:val="24"/>
        </w:rPr>
        <w:t>Asian economies</w:t>
      </w:r>
      <w:r w:rsidR="00A758AB" w:rsidRPr="002E410F">
        <w:rPr>
          <w:rFonts w:ascii="Arial" w:hAnsi="Arial"/>
          <w:sz w:val="24"/>
          <w:szCs w:val="24"/>
        </w:rPr>
        <w:t xml:space="preserve"> (</w:t>
      </w:r>
      <w:r w:rsidR="00CB2A92" w:rsidRPr="002E410F">
        <w:rPr>
          <w:rFonts w:ascii="Arial" w:hAnsi="Arial"/>
          <w:sz w:val="24"/>
          <w:szCs w:val="24"/>
        </w:rPr>
        <w:t>Jap</w:t>
      </w:r>
      <w:r w:rsidR="00721B9D" w:rsidRPr="002E410F">
        <w:rPr>
          <w:rFonts w:ascii="Arial" w:hAnsi="Arial"/>
          <w:sz w:val="24"/>
          <w:szCs w:val="24"/>
        </w:rPr>
        <w:t>an</w:t>
      </w:r>
      <w:r w:rsidR="00C07294" w:rsidRPr="002E410F">
        <w:rPr>
          <w:rFonts w:ascii="Arial" w:hAnsi="Arial"/>
          <w:sz w:val="24"/>
          <w:szCs w:val="24"/>
        </w:rPr>
        <w:t>,</w:t>
      </w:r>
      <w:r w:rsidR="00754592" w:rsidRPr="002E410F">
        <w:rPr>
          <w:rFonts w:ascii="Arial" w:hAnsi="Arial"/>
          <w:sz w:val="24"/>
          <w:szCs w:val="24"/>
        </w:rPr>
        <w:t xml:space="preserve"> </w:t>
      </w:r>
      <w:r w:rsidR="00DE5CEE" w:rsidRPr="002E410F">
        <w:rPr>
          <w:rFonts w:ascii="Arial" w:hAnsi="Arial"/>
          <w:sz w:val="24"/>
          <w:szCs w:val="24"/>
        </w:rPr>
        <w:t>from  t</w:t>
      </w:r>
      <w:r w:rsidR="00457509" w:rsidRPr="002E410F">
        <w:rPr>
          <w:rFonts w:ascii="Arial" w:hAnsi="Arial"/>
          <w:sz w:val="24"/>
          <w:szCs w:val="24"/>
        </w:rPr>
        <w:t>he 50’s</w:t>
      </w:r>
      <w:r w:rsidR="00A758AB" w:rsidRPr="002E410F">
        <w:rPr>
          <w:rFonts w:ascii="Arial" w:hAnsi="Arial"/>
          <w:sz w:val="24"/>
          <w:szCs w:val="24"/>
        </w:rPr>
        <w:t>,</w:t>
      </w:r>
      <w:r w:rsidR="00457509" w:rsidRPr="002E410F">
        <w:rPr>
          <w:rFonts w:ascii="Arial" w:hAnsi="Arial"/>
          <w:sz w:val="24"/>
          <w:szCs w:val="24"/>
        </w:rPr>
        <w:t xml:space="preserve"> </w:t>
      </w:r>
      <w:r w:rsidR="00DE5CEE" w:rsidRPr="002E410F">
        <w:rPr>
          <w:rFonts w:ascii="Arial" w:hAnsi="Arial"/>
          <w:sz w:val="24"/>
          <w:szCs w:val="24"/>
        </w:rPr>
        <w:t xml:space="preserve">and </w:t>
      </w:r>
      <w:r w:rsidR="009B4571" w:rsidRPr="002E410F">
        <w:rPr>
          <w:rFonts w:ascii="Arial" w:hAnsi="Arial"/>
          <w:sz w:val="24"/>
          <w:szCs w:val="24"/>
        </w:rPr>
        <w:t>to varying extent</w:t>
      </w:r>
      <w:r w:rsidR="00CC1E3D" w:rsidRPr="002E410F">
        <w:rPr>
          <w:rFonts w:ascii="Arial" w:hAnsi="Arial"/>
          <w:sz w:val="24"/>
          <w:szCs w:val="24"/>
        </w:rPr>
        <w:t>,</w:t>
      </w:r>
      <w:r w:rsidR="009B4571" w:rsidRPr="002E410F">
        <w:rPr>
          <w:rFonts w:ascii="Arial" w:hAnsi="Arial"/>
          <w:sz w:val="24"/>
          <w:szCs w:val="24"/>
        </w:rPr>
        <w:t xml:space="preserve"> </w:t>
      </w:r>
      <w:r w:rsidR="00DE5CEE" w:rsidRPr="002E410F">
        <w:rPr>
          <w:rFonts w:ascii="Arial" w:hAnsi="Arial"/>
          <w:sz w:val="24"/>
          <w:szCs w:val="24"/>
        </w:rPr>
        <w:t xml:space="preserve">the </w:t>
      </w:r>
      <w:r w:rsidR="00457509" w:rsidRPr="002E410F">
        <w:rPr>
          <w:rFonts w:ascii="Arial" w:hAnsi="Arial"/>
          <w:sz w:val="24"/>
          <w:szCs w:val="24"/>
        </w:rPr>
        <w:t>Korea</w:t>
      </w:r>
      <w:r w:rsidR="00DE5CEE" w:rsidRPr="002E410F">
        <w:rPr>
          <w:rFonts w:ascii="Arial" w:hAnsi="Arial"/>
          <w:sz w:val="24"/>
          <w:szCs w:val="24"/>
        </w:rPr>
        <w:t>, Singapore</w:t>
      </w:r>
      <w:r w:rsidR="00A758AB" w:rsidRPr="002E410F">
        <w:rPr>
          <w:rFonts w:ascii="Arial" w:hAnsi="Arial"/>
          <w:sz w:val="24"/>
          <w:szCs w:val="24"/>
        </w:rPr>
        <w:t xml:space="preserve"> Ma</w:t>
      </w:r>
      <w:r w:rsidR="003D00D1" w:rsidRPr="002E410F">
        <w:rPr>
          <w:rFonts w:ascii="Arial" w:hAnsi="Arial"/>
          <w:sz w:val="24"/>
          <w:szCs w:val="24"/>
        </w:rPr>
        <w:t>laysia</w:t>
      </w:r>
      <w:r w:rsidRPr="002E410F">
        <w:rPr>
          <w:rFonts w:ascii="Arial" w:hAnsi="Arial"/>
          <w:sz w:val="24"/>
          <w:szCs w:val="24"/>
        </w:rPr>
        <w:t>,</w:t>
      </w:r>
      <w:r w:rsidR="00BC73D0" w:rsidRPr="002E410F">
        <w:rPr>
          <w:rFonts w:ascii="Arial" w:hAnsi="Arial"/>
          <w:sz w:val="24"/>
          <w:szCs w:val="24"/>
        </w:rPr>
        <w:t xml:space="preserve"> </w:t>
      </w:r>
      <w:r w:rsidR="00A758AB" w:rsidRPr="002E410F">
        <w:rPr>
          <w:rFonts w:ascii="Arial" w:hAnsi="Arial"/>
          <w:sz w:val="24"/>
          <w:szCs w:val="24"/>
        </w:rPr>
        <w:t xml:space="preserve">and </w:t>
      </w:r>
      <w:r w:rsidR="00754592" w:rsidRPr="002E410F">
        <w:rPr>
          <w:rFonts w:ascii="Arial" w:hAnsi="Arial"/>
          <w:sz w:val="24"/>
          <w:szCs w:val="24"/>
        </w:rPr>
        <w:t>Thailand</w:t>
      </w:r>
      <w:r w:rsidR="00B660B7">
        <w:rPr>
          <w:rFonts w:ascii="Arial" w:hAnsi="Arial"/>
          <w:sz w:val="24"/>
          <w:szCs w:val="24"/>
        </w:rPr>
        <w:t>)</w:t>
      </w:r>
      <w:r w:rsidR="00754592" w:rsidRPr="002E410F">
        <w:rPr>
          <w:rFonts w:ascii="Arial" w:hAnsi="Arial"/>
          <w:sz w:val="24"/>
          <w:szCs w:val="24"/>
        </w:rPr>
        <w:t>,</w:t>
      </w:r>
      <w:r w:rsidR="00457509" w:rsidRPr="002E410F">
        <w:rPr>
          <w:rFonts w:ascii="Arial" w:hAnsi="Arial"/>
          <w:sz w:val="24"/>
          <w:szCs w:val="24"/>
        </w:rPr>
        <w:t xml:space="preserve"> </w:t>
      </w:r>
      <w:r w:rsidRPr="002E410F">
        <w:rPr>
          <w:rFonts w:ascii="Arial" w:hAnsi="Arial"/>
          <w:sz w:val="24"/>
          <w:szCs w:val="24"/>
        </w:rPr>
        <w:t>and</w:t>
      </w:r>
      <w:r w:rsidR="00754592" w:rsidRPr="002E410F">
        <w:rPr>
          <w:rFonts w:ascii="Arial" w:hAnsi="Arial"/>
          <w:sz w:val="24"/>
          <w:szCs w:val="24"/>
        </w:rPr>
        <w:t>,</w:t>
      </w:r>
      <w:r w:rsidRPr="002E410F">
        <w:rPr>
          <w:rFonts w:ascii="Arial" w:hAnsi="Arial"/>
          <w:sz w:val="24"/>
          <w:szCs w:val="24"/>
        </w:rPr>
        <w:t xml:space="preserve"> more recently</w:t>
      </w:r>
      <w:r w:rsidR="00754592" w:rsidRPr="002E410F">
        <w:rPr>
          <w:rFonts w:ascii="Arial" w:hAnsi="Arial"/>
          <w:sz w:val="24"/>
          <w:szCs w:val="24"/>
        </w:rPr>
        <w:t>,</w:t>
      </w:r>
      <w:r w:rsidRPr="002E410F">
        <w:rPr>
          <w:rFonts w:ascii="Arial" w:hAnsi="Arial"/>
          <w:sz w:val="24"/>
          <w:szCs w:val="24"/>
        </w:rPr>
        <w:t xml:space="preserve"> of the Chinese</w:t>
      </w:r>
      <w:r w:rsidR="00362AD0">
        <w:rPr>
          <w:rFonts w:ascii="Arial" w:hAnsi="Arial"/>
          <w:sz w:val="24"/>
          <w:szCs w:val="24"/>
        </w:rPr>
        <w:t>,</w:t>
      </w:r>
      <w:r w:rsidRPr="002E410F">
        <w:rPr>
          <w:rFonts w:ascii="Arial" w:hAnsi="Arial"/>
          <w:sz w:val="24"/>
          <w:szCs w:val="24"/>
        </w:rPr>
        <w:t xml:space="preserve"> and</w:t>
      </w:r>
      <w:r w:rsidR="00CC165B" w:rsidRPr="002E410F">
        <w:rPr>
          <w:rFonts w:ascii="Arial" w:hAnsi="Arial"/>
          <w:sz w:val="24"/>
          <w:szCs w:val="24"/>
        </w:rPr>
        <w:t xml:space="preserve">, in </w:t>
      </w:r>
      <w:r w:rsidR="00440CE2" w:rsidRPr="002E410F">
        <w:rPr>
          <w:rFonts w:ascii="Arial" w:hAnsi="Arial"/>
          <w:sz w:val="24"/>
          <w:szCs w:val="24"/>
        </w:rPr>
        <w:t xml:space="preserve">continuing </w:t>
      </w:r>
      <w:r w:rsidR="00CC165B" w:rsidRPr="002E410F">
        <w:rPr>
          <w:rFonts w:ascii="Arial" w:hAnsi="Arial"/>
          <w:sz w:val="24"/>
          <w:szCs w:val="24"/>
        </w:rPr>
        <w:t>part</w:t>
      </w:r>
      <w:r w:rsidR="00BB6F66" w:rsidRPr="002E410F">
        <w:rPr>
          <w:rFonts w:ascii="Arial" w:hAnsi="Arial"/>
          <w:sz w:val="24"/>
          <w:szCs w:val="24"/>
        </w:rPr>
        <w:t>, the</w:t>
      </w:r>
      <w:r w:rsidRPr="002E410F">
        <w:rPr>
          <w:rFonts w:ascii="Arial" w:hAnsi="Arial"/>
          <w:sz w:val="24"/>
          <w:szCs w:val="24"/>
        </w:rPr>
        <w:t xml:space="preserve"> Indian economies, provide historical confirmation of this intuitively common-sense observation.</w:t>
      </w:r>
    </w:p>
    <w:p w14:paraId="31B23591" w14:textId="2561D60D" w:rsidR="005A6841" w:rsidRPr="002E410F" w:rsidRDefault="00180556" w:rsidP="143A5A29">
      <w:pPr>
        <w:spacing w:after="390" w:line="240" w:lineRule="auto"/>
        <w:rPr>
          <w:rFonts w:ascii="Arial" w:hAnsi="Arial"/>
          <w:sz w:val="24"/>
          <w:szCs w:val="24"/>
        </w:rPr>
      </w:pPr>
      <w:r w:rsidRPr="002E410F">
        <w:rPr>
          <w:rFonts w:ascii="Arial" w:hAnsi="Arial"/>
          <w:sz w:val="24"/>
          <w:szCs w:val="24"/>
        </w:rPr>
        <w:t>The provision of s</w:t>
      </w:r>
      <w:r w:rsidR="004D5394" w:rsidRPr="002E410F">
        <w:rPr>
          <w:rFonts w:ascii="Arial" w:hAnsi="Arial"/>
          <w:sz w:val="24"/>
          <w:szCs w:val="24"/>
        </w:rPr>
        <w:t>anitary and hygienic living environments for workers and basic literacy and numeracy</w:t>
      </w:r>
      <w:r w:rsidRPr="002E410F">
        <w:rPr>
          <w:rFonts w:ascii="Arial" w:hAnsi="Arial"/>
          <w:sz w:val="24"/>
          <w:szCs w:val="24"/>
        </w:rPr>
        <w:t xml:space="preserve"> -</w:t>
      </w:r>
      <w:r w:rsidR="004D5394" w:rsidRPr="002E410F">
        <w:rPr>
          <w:rFonts w:ascii="Arial" w:hAnsi="Arial"/>
          <w:sz w:val="24"/>
          <w:szCs w:val="24"/>
        </w:rPr>
        <w:t xml:space="preserve"> a modicum of universal education</w:t>
      </w:r>
      <w:r w:rsidRPr="002E410F">
        <w:rPr>
          <w:rFonts w:ascii="Arial" w:hAnsi="Arial"/>
          <w:sz w:val="24"/>
          <w:szCs w:val="24"/>
        </w:rPr>
        <w:t xml:space="preserve"> </w:t>
      </w:r>
      <w:r w:rsidR="004C123F" w:rsidRPr="002E410F">
        <w:rPr>
          <w:rFonts w:ascii="Arial" w:hAnsi="Arial"/>
          <w:sz w:val="24"/>
          <w:szCs w:val="24"/>
        </w:rPr>
        <w:t>–</w:t>
      </w:r>
      <w:r w:rsidRPr="002E410F">
        <w:rPr>
          <w:rFonts w:ascii="Arial" w:hAnsi="Arial"/>
          <w:sz w:val="24"/>
          <w:szCs w:val="24"/>
        </w:rPr>
        <w:t xml:space="preserve"> </w:t>
      </w:r>
      <w:r w:rsidR="004C123F" w:rsidRPr="002E410F">
        <w:rPr>
          <w:rFonts w:ascii="Arial" w:hAnsi="Arial"/>
          <w:sz w:val="24"/>
          <w:szCs w:val="24"/>
        </w:rPr>
        <w:t>increasing</w:t>
      </w:r>
      <w:r w:rsidR="009F0A9A" w:rsidRPr="002E410F">
        <w:rPr>
          <w:rFonts w:ascii="Arial" w:hAnsi="Arial"/>
          <w:sz w:val="24"/>
          <w:szCs w:val="24"/>
        </w:rPr>
        <w:t>ly</w:t>
      </w:r>
      <w:r w:rsidR="004C123F" w:rsidRPr="002E410F">
        <w:rPr>
          <w:rFonts w:ascii="Arial" w:hAnsi="Arial"/>
          <w:sz w:val="24"/>
          <w:szCs w:val="24"/>
        </w:rPr>
        <w:t xml:space="preserve"> through publicly-funded social infrastructure,</w:t>
      </w:r>
      <w:r w:rsidR="004D5394" w:rsidRPr="002E410F">
        <w:rPr>
          <w:rFonts w:ascii="Arial" w:hAnsi="Arial"/>
          <w:sz w:val="24"/>
          <w:szCs w:val="24"/>
        </w:rPr>
        <w:t xml:space="preserve"> </w:t>
      </w:r>
      <w:r w:rsidR="000E67E9" w:rsidRPr="002E410F">
        <w:rPr>
          <w:rFonts w:ascii="Arial" w:hAnsi="Arial"/>
          <w:sz w:val="24"/>
          <w:szCs w:val="24"/>
        </w:rPr>
        <w:t xml:space="preserve">progressively followed </w:t>
      </w:r>
      <w:r w:rsidR="004D5394" w:rsidRPr="002E410F">
        <w:rPr>
          <w:rFonts w:ascii="Arial" w:hAnsi="Arial"/>
          <w:sz w:val="24"/>
          <w:szCs w:val="24"/>
        </w:rPr>
        <w:t>that industrial transformation</w:t>
      </w:r>
      <w:r w:rsidRPr="002E410F">
        <w:rPr>
          <w:rFonts w:ascii="Arial" w:hAnsi="Arial"/>
          <w:sz w:val="24"/>
          <w:szCs w:val="24"/>
        </w:rPr>
        <w:t xml:space="preserve"> in Europe</w:t>
      </w:r>
      <w:r w:rsidR="000E67E9" w:rsidRPr="002E410F">
        <w:rPr>
          <w:rFonts w:ascii="Arial" w:hAnsi="Arial"/>
          <w:sz w:val="24"/>
          <w:szCs w:val="24"/>
        </w:rPr>
        <w:t xml:space="preserve">, and often preceded </w:t>
      </w:r>
      <w:r w:rsidR="005D4050" w:rsidRPr="002E410F">
        <w:rPr>
          <w:rFonts w:ascii="Arial" w:hAnsi="Arial"/>
          <w:sz w:val="24"/>
          <w:szCs w:val="24"/>
        </w:rPr>
        <w:t>it across East Asian economies</w:t>
      </w:r>
      <w:r w:rsidR="004D5394" w:rsidRPr="002E410F">
        <w:rPr>
          <w:rFonts w:ascii="Arial" w:hAnsi="Arial"/>
          <w:sz w:val="24"/>
          <w:szCs w:val="24"/>
        </w:rPr>
        <w:t>.</w:t>
      </w:r>
    </w:p>
    <w:p w14:paraId="43D4D1BB" w14:textId="77777777" w:rsidR="00915B82" w:rsidRDefault="0027192C" w:rsidP="0027192C">
      <w:pPr>
        <w:spacing w:after="390" w:line="240" w:lineRule="auto"/>
        <w:rPr>
          <w:rFonts w:ascii="Arial" w:hAnsi="Arial"/>
          <w:sz w:val="24"/>
          <w:szCs w:val="24"/>
        </w:rPr>
      </w:pPr>
      <w:r w:rsidRPr="002E410F">
        <w:rPr>
          <w:rFonts w:ascii="Arial" w:hAnsi="Arial"/>
          <w:sz w:val="24"/>
          <w:szCs w:val="24"/>
        </w:rPr>
        <w:t xml:space="preserve">Bank of England data </w:t>
      </w:r>
      <w:r w:rsidR="00C46CE4">
        <w:rPr>
          <w:rFonts w:ascii="Arial" w:hAnsi="Arial"/>
          <w:sz w:val="24"/>
          <w:szCs w:val="24"/>
        </w:rPr>
        <w:t xml:space="preserve">indicates that </w:t>
      </w:r>
      <w:r w:rsidRPr="002E410F">
        <w:rPr>
          <w:rFonts w:ascii="Arial" w:hAnsi="Arial"/>
          <w:sz w:val="24"/>
          <w:szCs w:val="24"/>
        </w:rPr>
        <w:t>the annual UK growth rate was</w:t>
      </w:r>
      <w:r w:rsidR="00915B82">
        <w:rPr>
          <w:rFonts w:ascii="Arial" w:hAnsi="Arial"/>
          <w:sz w:val="24"/>
          <w:szCs w:val="24"/>
        </w:rPr>
        <w:t>:</w:t>
      </w:r>
    </w:p>
    <w:p w14:paraId="4A516816" w14:textId="77777777" w:rsidR="00915B82" w:rsidRDefault="0027192C" w:rsidP="00915B82">
      <w:pPr>
        <w:pStyle w:val="ListParagraph"/>
        <w:numPr>
          <w:ilvl w:val="0"/>
          <w:numId w:val="18"/>
        </w:numPr>
        <w:spacing w:after="390" w:line="240" w:lineRule="auto"/>
        <w:rPr>
          <w:rFonts w:ascii="Arial" w:hAnsi="Arial"/>
          <w:sz w:val="24"/>
          <w:szCs w:val="24"/>
        </w:rPr>
      </w:pPr>
      <w:r w:rsidRPr="00915B82">
        <w:rPr>
          <w:rFonts w:ascii="Arial" w:hAnsi="Arial"/>
          <w:sz w:val="24"/>
          <w:szCs w:val="24"/>
        </w:rPr>
        <w:t xml:space="preserve">below 1% until c1840 (with big yearly and cyclical variations related to agricultural events and other </w:t>
      </w:r>
      <w:r w:rsidR="00B90541" w:rsidRPr="00915B82">
        <w:rPr>
          <w:rFonts w:ascii="Arial" w:hAnsi="Arial"/>
          <w:sz w:val="24"/>
          <w:szCs w:val="24"/>
        </w:rPr>
        <w:t xml:space="preserve">mainly war-related </w:t>
      </w:r>
      <w:r w:rsidRPr="00915B82">
        <w:rPr>
          <w:rFonts w:ascii="Arial" w:hAnsi="Arial"/>
          <w:sz w:val="24"/>
          <w:szCs w:val="24"/>
        </w:rPr>
        <w:t>shocks)</w:t>
      </w:r>
      <w:r w:rsidR="00915B82">
        <w:rPr>
          <w:rFonts w:ascii="Arial" w:hAnsi="Arial"/>
          <w:sz w:val="24"/>
          <w:szCs w:val="24"/>
        </w:rPr>
        <w:t>;</w:t>
      </w:r>
    </w:p>
    <w:p w14:paraId="3F53E8A6" w14:textId="1F9D7567" w:rsidR="00502B23" w:rsidRDefault="0027192C" w:rsidP="00915B82">
      <w:pPr>
        <w:pStyle w:val="ListParagraph"/>
        <w:numPr>
          <w:ilvl w:val="0"/>
          <w:numId w:val="18"/>
        </w:numPr>
        <w:spacing w:after="390" w:line="240" w:lineRule="auto"/>
        <w:rPr>
          <w:rFonts w:ascii="Arial" w:hAnsi="Arial"/>
          <w:sz w:val="24"/>
          <w:szCs w:val="24"/>
        </w:rPr>
      </w:pPr>
      <w:r w:rsidRPr="00915B82">
        <w:rPr>
          <w:rFonts w:ascii="Arial" w:hAnsi="Arial"/>
          <w:sz w:val="24"/>
          <w:szCs w:val="24"/>
        </w:rPr>
        <w:t>around 1% until the late 1940’s</w:t>
      </w:r>
      <w:r w:rsidR="00E445A1">
        <w:rPr>
          <w:rFonts w:ascii="Arial" w:hAnsi="Arial"/>
          <w:sz w:val="24"/>
          <w:szCs w:val="24"/>
        </w:rPr>
        <w:t>,</w:t>
      </w:r>
      <w:r w:rsidR="00502B23">
        <w:rPr>
          <w:rFonts w:ascii="Arial" w:hAnsi="Arial"/>
          <w:sz w:val="24"/>
          <w:szCs w:val="24"/>
        </w:rPr>
        <w:t xml:space="preserve"> before rising to;</w:t>
      </w:r>
    </w:p>
    <w:p w14:paraId="4D7AED89" w14:textId="5C793A42" w:rsidR="001B648D" w:rsidRDefault="0027192C" w:rsidP="00915B82">
      <w:pPr>
        <w:pStyle w:val="ListParagraph"/>
        <w:numPr>
          <w:ilvl w:val="0"/>
          <w:numId w:val="18"/>
        </w:numPr>
        <w:spacing w:after="390" w:line="240" w:lineRule="auto"/>
        <w:rPr>
          <w:rFonts w:ascii="Arial" w:hAnsi="Arial"/>
          <w:sz w:val="24"/>
          <w:szCs w:val="24"/>
        </w:rPr>
      </w:pPr>
      <w:r w:rsidRPr="00915B82">
        <w:rPr>
          <w:rFonts w:ascii="Arial" w:hAnsi="Arial"/>
          <w:sz w:val="24"/>
          <w:szCs w:val="24"/>
        </w:rPr>
        <w:lastRenderedPageBreak/>
        <w:t>to around 3% during the post-war boom period that lasted until 1973, when the OPEC oil price shock struck</w:t>
      </w:r>
      <w:r w:rsidR="001B648D">
        <w:rPr>
          <w:rFonts w:ascii="Arial" w:hAnsi="Arial"/>
          <w:sz w:val="24"/>
          <w:szCs w:val="24"/>
        </w:rPr>
        <w:t>;</w:t>
      </w:r>
    </w:p>
    <w:p w14:paraId="6D9DBB7F" w14:textId="36B41B7B" w:rsidR="0027192C" w:rsidRPr="000526A0" w:rsidRDefault="0042363D" w:rsidP="004A3DF9">
      <w:pPr>
        <w:pStyle w:val="ListParagraph"/>
        <w:numPr>
          <w:ilvl w:val="0"/>
          <w:numId w:val="18"/>
        </w:numPr>
        <w:spacing w:after="390" w:line="240" w:lineRule="auto"/>
        <w:rPr>
          <w:rFonts w:ascii="Arial" w:hAnsi="Arial"/>
          <w:sz w:val="24"/>
          <w:szCs w:val="24"/>
        </w:rPr>
      </w:pPr>
      <w:r w:rsidRPr="000526A0">
        <w:rPr>
          <w:rFonts w:ascii="Arial" w:hAnsi="Arial"/>
          <w:sz w:val="24"/>
          <w:szCs w:val="24"/>
        </w:rPr>
        <w:t xml:space="preserve">It </w:t>
      </w:r>
      <w:r w:rsidR="008344D3" w:rsidRPr="000526A0">
        <w:rPr>
          <w:rFonts w:ascii="Arial" w:hAnsi="Arial"/>
          <w:sz w:val="24"/>
          <w:szCs w:val="24"/>
        </w:rPr>
        <w:t xml:space="preserve">fell </w:t>
      </w:r>
      <w:r w:rsidRPr="000526A0">
        <w:rPr>
          <w:rFonts w:ascii="Arial" w:hAnsi="Arial"/>
          <w:sz w:val="24"/>
          <w:szCs w:val="24"/>
        </w:rPr>
        <w:t xml:space="preserve">an average of </w:t>
      </w:r>
      <w:r w:rsidR="0027192C" w:rsidRPr="000526A0">
        <w:rPr>
          <w:rFonts w:ascii="Arial" w:hAnsi="Arial"/>
          <w:sz w:val="24"/>
          <w:szCs w:val="24"/>
        </w:rPr>
        <w:t xml:space="preserve">around 2% </w:t>
      </w:r>
      <w:r w:rsidRPr="000526A0">
        <w:rPr>
          <w:rFonts w:ascii="Arial" w:hAnsi="Arial"/>
          <w:sz w:val="24"/>
          <w:szCs w:val="24"/>
        </w:rPr>
        <w:t>in subsequent decades</w:t>
      </w:r>
      <w:r w:rsidR="00052131">
        <w:rPr>
          <w:rFonts w:ascii="Arial" w:hAnsi="Arial"/>
          <w:sz w:val="24"/>
          <w:szCs w:val="24"/>
        </w:rPr>
        <w:t>; the</w:t>
      </w:r>
      <w:r w:rsidR="000526A0">
        <w:rPr>
          <w:rFonts w:ascii="Arial" w:hAnsi="Arial"/>
          <w:sz w:val="24"/>
          <w:szCs w:val="24"/>
        </w:rPr>
        <w:t xml:space="preserve"> </w:t>
      </w:r>
      <w:r w:rsidR="0027192C" w:rsidRPr="000526A0">
        <w:rPr>
          <w:rFonts w:ascii="Arial" w:hAnsi="Arial"/>
          <w:sz w:val="24"/>
          <w:szCs w:val="24"/>
        </w:rPr>
        <w:t>most recent decade in the wake of the Great Financial Crash</w:t>
      </w:r>
      <w:r w:rsidRPr="000526A0">
        <w:rPr>
          <w:rFonts w:ascii="Arial" w:hAnsi="Arial"/>
          <w:sz w:val="24"/>
          <w:szCs w:val="24"/>
        </w:rPr>
        <w:t xml:space="preserve"> in 2008</w:t>
      </w:r>
      <w:r w:rsidR="0027192C" w:rsidRPr="000526A0">
        <w:rPr>
          <w:rFonts w:ascii="Arial" w:hAnsi="Arial"/>
          <w:sz w:val="24"/>
          <w:szCs w:val="24"/>
        </w:rPr>
        <w:t xml:space="preserve"> (GFC) </w:t>
      </w:r>
      <w:r w:rsidR="00052131">
        <w:rPr>
          <w:rFonts w:ascii="Arial" w:hAnsi="Arial"/>
          <w:sz w:val="24"/>
          <w:szCs w:val="24"/>
        </w:rPr>
        <w:t xml:space="preserve">has been </w:t>
      </w:r>
      <w:r w:rsidR="0027192C" w:rsidRPr="000526A0">
        <w:rPr>
          <w:rFonts w:ascii="Arial" w:hAnsi="Arial"/>
          <w:sz w:val="24"/>
          <w:szCs w:val="24"/>
        </w:rPr>
        <w:t xml:space="preserve">marked by </w:t>
      </w:r>
      <w:r w:rsidR="00E445A1">
        <w:rPr>
          <w:rFonts w:ascii="Arial" w:hAnsi="Arial"/>
          <w:sz w:val="24"/>
          <w:szCs w:val="24"/>
        </w:rPr>
        <w:t>at</w:t>
      </w:r>
      <w:r w:rsidR="008D7AD5">
        <w:rPr>
          <w:rFonts w:ascii="Arial" w:hAnsi="Arial"/>
          <w:sz w:val="24"/>
          <w:szCs w:val="24"/>
        </w:rPr>
        <w:t xml:space="preserve"> </w:t>
      </w:r>
      <w:r w:rsidR="0027192C" w:rsidRPr="000526A0">
        <w:rPr>
          <w:rFonts w:ascii="Arial" w:hAnsi="Arial"/>
          <w:sz w:val="24"/>
          <w:szCs w:val="24"/>
        </w:rPr>
        <w:t>best stagnant productivity.</w:t>
      </w:r>
    </w:p>
    <w:p w14:paraId="4DF3052B" w14:textId="15CB8332" w:rsidR="00754592" w:rsidRPr="002E410F" w:rsidRDefault="00754592" w:rsidP="00754592">
      <w:pPr>
        <w:spacing w:after="390" w:line="240" w:lineRule="auto"/>
        <w:rPr>
          <w:rFonts w:ascii="Arial" w:hAnsi="Arial"/>
          <w:sz w:val="24"/>
          <w:szCs w:val="24"/>
        </w:rPr>
      </w:pPr>
      <w:r w:rsidRPr="002E410F">
        <w:rPr>
          <w:rFonts w:ascii="Arial" w:hAnsi="Arial"/>
          <w:sz w:val="24"/>
          <w:szCs w:val="24"/>
        </w:rPr>
        <w:t xml:space="preserve">As </w:t>
      </w:r>
      <w:r w:rsidR="009B4571" w:rsidRPr="002E410F">
        <w:rPr>
          <w:rFonts w:ascii="Arial" w:hAnsi="Arial"/>
          <w:sz w:val="24"/>
          <w:szCs w:val="24"/>
        </w:rPr>
        <w:t>economies mature</w:t>
      </w:r>
      <w:r w:rsidR="00A11E25" w:rsidRPr="002E410F">
        <w:rPr>
          <w:rFonts w:ascii="Arial" w:hAnsi="Arial"/>
          <w:sz w:val="24"/>
          <w:szCs w:val="24"/>
        </w:rPr>
        <w:t xml:space="preserve"> </w:t>
      </w:r>
      <w:r w:rsidR="00D61C1A" w:rsidRPr="002E410F">
        <w:rPr>
          <w:rFonts w:ascii="Arial" w:hAnsi="Arial"/>
          <w:sz w:val="24"/>
          <w:szCs w:val="24"/>
        </w:rPr>
        <w:t>and</w:t>
      </w:r>
      <w:r w:rsidR="002D1552" w:rsidRPr="002E410F">
        <w:rPr>
          <w:rFonts w:ascii="Arial" w:hAnsi="Arial"/>
          <w:sz w:val="24"/>
          <w:szCs w:val="24"/>
        </w:rPr>
        <w:t xml:space="preserve"> service</w:t>
      </w:r>
      <w:r w:rsidR="00D45AEE" w:rsidRPr="002E410F">
        <w:rPr>
          <w:rFonts w:ascii="Arial" w:hAnsi="Arial"/>
          <w:sz w:val="24"/>
          <w:szCs w:val="24"/>
        </w:rPr>
        <w:t>s</w:t>
      </w:r>
      <w:r w:rsidR="002D1552" w:rsidRPr="002E410F">
        <w:rPr>
          <w:rFonts w:ascii="Arial" w:hAnsi="Arial"/>
          <w:sz w:val="24"/>
          <w:szCs w:val="24"/>
        </w:rPr>
        <w:t xml:space="preserve"> replac</w:t>
      </w:r>
      <w:r w:rsidR="006A7D5C" w:rsidRPr="002E410F">
        <w:rPr>
          <w:rFonts w:ascii="Arial" w:hAnsi="Arial"/>
          <w:sz w:val="24"/>
          <w:szCs w:val="24"/>
        </w:rPr>
        <w:t>e</w:t>
      </w:r>
      <w:r w:rsidR="002D1552" w:rsidRPr="002E410F">
        <w:rPr>
          <w:rFonts w:ascii="Arial" w:hAnsi="Arial"/>
          <w:sz w:val="24"/>
          <w:szCs w:val="24"/>
        </w:rPr>
        <w:t xml:space="preserve"> primary and manufacturing production</w:t>
      </w:r>
      <w:r w:rsidR="00D45AEE" w:rsidRPr="002E410F">
        <w:rPr>
          <w:rFonts w:ascii="Arial" w:hAnsi="Arial"/>
          <w:sz w:val="24"/>
          <w:szCs w:val="24"/>
        </w:rPr>
        <w:t xml:space="preserve"> as the m</w:t>
      </w:r>
      <w:r w:rsidR="0017429C" w:rsidRPr="002E410F">
        <w:rPr>
          <w:rFonts w:ascii="Arial" w:hAnsi="Arial"/>
          <w:sz w:val="24"/>
          <w:szCs w:val="24"/>
        </w:rPr>
        <w:t>a</w:t>
      </w:r>
      <w:r w:rsidR="00D45AEE" w:rsidRPr="002E410F">
        <w:rPr>
          <w:rFonts w:ascii="Arial" w:hAnsi="Arial"/>
          <w:sz w:val="24"/>
          <w:szCs w:val="24"/>
        </w:rPr>
        <w:t>in source of growth</w:t>
      </w:r>
      <w:r w:rsidR="009967B0" w:rsidRPr="002E410F">
        <w:rPr>
          <w:rFonts w:ascii="Arial" w:hAnsi="Arial"/>
          <w:sz w:val="24"/>
          <w:szCs w:val="24"/>
        </w:rPr>
        <w:t>,</w:t>
      </w:r>
      <w:r w:rsidRPr="002E410F">
        <w:rPr>
          <w:rFonts w:ascii="Arial" w:hAnsi="Arial"/>
          <w:sz w:val="24"/>
          <w:szCs w:val="24"/>
        </w:rPr>
        <w:t xml:space="preserve"> the provision of education, sanitary, and housing and other services that allow the inputs of labour and capital to be combined efficiently and sustainably</w:t>
      </w:r>
      <w:r w:rsidR="00F85070">
        <w:rPr>
          <w:rFonts w:ascii="Arial" w:hAnsi="Arial"/>
          <w:sz w:val="24"/>
          <w:szCs w:val="24"/>
        </w:rPr>
        <w:t>,</w:t>
      </w:r>
      <w:r w:rsidR="00CC1E3D" w:rsidRPr="002E410F">
        <w:rPr>
          <w:rFonts w:ascii="Arial" w:hAnsi="Arial"/>
          <w:sz w:val="24"/>
          <w:szCs w:val="24"/>
        </w:rPr>
        <w:t xml:space="preserve"> becomes</w:t>
      </w:r>
      <w:r w:rsidR="0017429C" w:rsidRPr="002E410F">
        <w:rPr>
          <w:rFonts w:ascii="Arial" w:hAnsi="Arial"/>
          <w:sz w:val="24"/>
          <w:szCs w:val="24"/>
        </w:rPr>
        <w:t xml:space="preserve"> increasingly important</w:t>
      </w:r>
      <w:r w:rsidR="003F6576" w:rsidRPr="002E410F">
        <w:rPr>
          <w:rFonts w:ascii="Arial" w:hAnsi="Arial"/>
          <w:sz w:val="24"/>
          <w:szCs w:val="24"/>
        </w:rPr>
        <w:t xml:space="preserve">, </w:t>
      </w:r>
      <w:r w:rsidR="0017429C" w:rsidRPr="002E410F">
        <w:rPr>
          <w:rFonts w:ascii="Arial" w:hAnsi="Arial"/>
          <w:sz w:val="24"/>
          <w:szCs w:val="24"/>
        </w:rPr>
        <w:t xml:space="preserve">leaving aside </w:t>
      </w:r>
      <w:r w:rsidR="003F6576" w:rsidRPr="002E410F">
        <w:rPr>
          <w:rFonts w:ascii="Arial" w:hAnsi="Arial"/>
          <w:sz w:val="24"/>
          <w:szCs w:val="24"/>
        </w:rPr>
        <w:t>th</w:t>
      </w:r>
      <w:r w:rsidR="0077157B" w:rsidRPr="002E410F">
        <w:rPr>
          <w:rFonts w:ascii="Arial" w:hAnsi="Arial"/>
          <w:sz w:val="24"/>
          <w:szCs w:val="24"/>
        </w:rPr>
        <w:t>eir</w:t>
      </w:r>
      <w:r w:rsidR="003F6576" w:rsidRPr="002E410F">
        <w:rPr>
          <w:rFonts w:ascii="Arial" w:hAnsi="Arial"/>
          <w:sz w:val="24"/>
          <w:szCs w:val="24"/>
        </w:rPr>
        <w:t xml:space="preserve"> relationship to</w:t>
      </w:r>
      <w:r w:rsidR="0017429C" w:rsidRPr="002E410F">
        <w:rPr>
          <w:rFonts w:ascii="Arial" w:hAnsi="Arial"/>
          <w:sz w:val="24"/>
          <w:szCs w:val="24"/>
        </w:rPr>
        <w:t xml:space="preserve"> political stability and social cohesion.</w:t>
      </w:r>
      <w:r w:rsidRPr="002E410F">
        <w:rPr>
          <w:rFonts w:ascii="Arial" w:hAnsi="Arial"/>
          <w:sz w:val="24"/>
          <w:szCs w:val="24"/>
        </w:rPr>
        <w:t xml:space="preserve"> </w:t>
      </w:r>
    </w:p>
    <w:p w14:paraId="4D907457" w14:textId="15F48076" w:rsidR="00CC681C" w:rsidRPr="002E410F" w:rsidRDefault="006C4C35" w:rsidP="143A5A29">
      <w:pPr>
        <w:spacing w:after="390" w:line="240" w:lineRule="auto"/>
        <w:rPr>
          <w:rFonts w:ascii="Arial" w:hAnsi="Arial"/>
          <w:sz w:val="24"/>
          <w:szCs w:val="24"/>
        </w:rPr>
      </w:pPr>
      <w:r w:rsidRPr="002E410F">
        <w:rPr>
          <w:rFonts w:ascii="Arial" w:hAnsi="Arial"/>
          <w:sz w:val="24"/>
          <w:szCs w:val="24"/>
        </w:rPr>
        <w:t>The</w:t>
      </w:r>
      <w:r w:rsidR="007668E2" w:rsidRPr="002E410F">
        <w:rPr>
          <w:rFonts w:ascii="Arial" w:hAnsi="Arial"/>
          <w:sz w:val="24"/>
          <w:szCs w:val="24"/>
        </w:rPr>
        <w:t xml:space="preserve"> impact of the </w:t>
      </w:r>
      <w:r w:rsidRPr="002E410F">
        <w:rPr>
          <w:rFonts w:ascii="Arial" w:hAnsi="Arial"/>
          <w:sz w:val="24"/>
          <w:szCs w:val="24"/>
        </w:rPr>
        <w:t xml:space="preserve">development of the </w:t>
      </w:r>
      <w:r w:rsidR="000145D7" w:rsidRPr="002E410F">
        <w:rPr>
          <w:rFonts w:ascii="Arial" w:hAnsi="Arial"/>
          <w:sz w:val="24"/>
          <w:szCs w:val="24"/>
        </w:rPr>
        <w:t>UK railway system in Victorian Britain,</w:t>
      </w:r>
      <w:r w:rsidR="007351D7" w:rsidRPr="002E410F">
        <w:rPr>
          <w:rFonts w:ascii="Arial" w:hAnsi="Arial"/>
          <w:sz w:val="24"/>
          <w:szCs w:val="24"/>
        </w:rPr>
        <w:t xml:space="preserve"> </w:t>
      </w:r>
      <w:r w:rsidR="000145D7" w:rsidRPr="002E410F">
        <w:rPr>
          <w:rFonts w:ascii="Arial" w:hAnsi="Arial"/>
          <w:sz w:val="24"/>
          <w:szCs w:val="24"/>
        </w:rPr>
        <w:t>the inter-state</w:t>
      </w:r>
      <w:r w:rsidR="00851D23" w:rsidRPr="002E410F">
        <w:rPr>
          <w:rFonts w:ascii="Arial" w:hAnsi="Arial"/>
          <w:sz w:val="24"/>
          <w:szCs w:val="24"/>
        </w:rPr>
        <w:t xml:space="preserve"> highway system within the US</w:t>
      </w:r>
      <w:r w:rsidR="00E91950" w:rsidRPr="002E410F">
        <w:rPr>
          <w:rFonts w:ascii="Arial" w:hAnsi="Arial"/>
          <w:sz w:val="24"/>
          <w:szCs w:val="24"/>
        </w:rPr>
        <w:t xml:space="preserve"> before and after the second world war</w:t>
      </w:r>
      <w:r w:rsidR="007D6D0C" w:rsidRPr="002E410F">
        <w:rPr>
          <w:rFonts w:ascii="Arial" w:hAnsi="Arial"/>
          <w:sz w:val="24"/>
          <w:szCs w:val="24"/>
        </w:rPr>
        <w:t>,</w:t>
      </w:r>
      <w:r w:rsidR="00E91950" w:rsidRPr="002E410F">
        <w:rPr>
          <w:rFonts w:ascii="Arial" w:hAnsi="Arial"/>
          <w:sz w:val="24"/>
          <w:szCs w:val="24"/>
        </w:rPr>
        <w:t xml:space="preserve"> </w:t>
      </w:r>
      <w:r w:rsidR="00A55509" w:rsidRPr="002E410F">
        <w:rPr>
          <w:rFonts w:ascii="Arial" w:hAnsi="Arial"/>
          <w:sz w:val="24"/>
          <w:szCs w:val="24"/>
        </w:rPr>
        <w:t>provide clear examples</w:t>
      </w:r>
      <w:r w:rsidR="00F169E2" w:rsidRPr="002E410F">
        <w:rPr>
          <w:rFonts w:ascii="Arial" w:hAnsi="Arial"/>
          <w:sz w:val="24"/>
          <w:szCs w:val="24"/>
        </w:rPr>
        <w:t xml:space="preserve"> </w:t>
      </w:r>
      <w:r w:rsidR="00622C6D" w:rsidRPr="002E410F">
        <w:rPr>
          <w:rFonts w:ascii="Arial" w:hAnsi="Arial"/>
          <w:sz w:val="24"/>
          <w:szCs w:val="24"/>
        </w:rPr>
        <w:t>of the first-</w:t>
      </w:r>
      <w:r w:rsidR="00F169E2" w:rsidRPr="002E410F">
        <w:rPr>
          <w:rFonts w:ascii="Arial" w:hAnsi="Arial"/>
          <w:sz w:val="24"/>
          <w:szCs w:val="24"/>
        </w:rPr>
        <w:t>order effects of infrastructural investment at scale</w:t>
      </w:r>
      <w:r w:rsidR="00FA3224" w:rsidRPr="002E410F">
        <w:rPr>
          <w:rFonts w:ascii="Arial" w:hAnsi="Arial"/>
          <w:sz w:val="24"/>
          <w:szCs w:val="24"/>
        </w:rPr>
        <w:t xml:space="preserve"> on productivity and economic growth</w:t>
      </w:r>
      <w:r w:rsidR="00DE2FDC" w:rsidRPr="002E410F">
        <w:rPr>
          <w:rFonts w:ascii="Arial" w:hAnsi="Arial"/>
          <w:sz w:val="24"/>
          <w:szCs w:val="24"/>
        </w:rPr>
        <w:t xml:space="preserve">. </w:t>
      </w:r>
    </w:p>
    <w:p w14:paraId="563200F7" w14:textId="1217DC12" w:rsidR="001944DA" w:rsidRPr="002E410F" w:rsidRDefault="00DE2FDC" w:rsidP="143A5A29">
      <w:pPr>
        <w:spacing w:after="390" w:line="240" w:lineRule="auto"/>
        <w:rPr>
          <w:rFonts w:ascii="Arial" w:hAnsi="Arial"/>
          <w:sz w:val="24"/>
          <w:szCs w:val="24"/>
        </w:rPr>
      </w:pPr>
      <w:r w:rsidRPr="002E410F">
        <w:rPr>
          <w:rFonts w:ascii="Arial" w:hAnsi="Arial"/>
          <w:sz w:val="24"/>
          <w:szCs w:val="24"/>
        </w:rPr>
        <w:t>T</w:t>
      </w:r>
      <w:r w:rsidR="00B02837" w:rsidRPr="002E410F">
        <w:rPr>
          <w:rFonts w:ascii="Arial" w:hAnsi="Arial"/>
          <w:sz w:val="24"/>
          <w:szCs w:val="24"/>
        </w:rPr>
        <w:t>he</w:t>
      </w:r>
      <w:r w:rsidR="00FC5C4C" w:rsidRPr="002E410F">
        <w:rPr>
          <w:rFonts w:ascii="Arial" w:hAnsi="Arial"/>
          <w:sz w:val="24"/>
          <w:szCs w:val="24"/>
        </w:rPr>
        <w:t xml:space="preserve"> development of the arterial roads </w:t>
      </w:r>
      <w:r w:rsidR="00422F95" w:rsidRPr="002E410F">
        <w:rPr>
          <w:rFonts w:ascii="Arial" w:hAnsi="Arial"/>
          <w:sz w:val="24"/>
          <w:szCs w:val="24"/>
        </w:rPr>
        <w:t xml:space="preserve">and public transport </w:t>
      </w:r>
      <w:r w:rsidR="00A950F6" w:rsidRPr="002E410F">
        <w:rPr>
          <w:rFonts w:ascii="Arial" w:hAnsi="Arial"/>
          <w:sz w:val="24"/>
          <w:szCs w:val="24"/>
        </w:rPr>
        <w:t xml:space="preserve">system </w:t>
      </w:r>
      <w:r w:rsidR="00FC5C4C" w:rsidRPr="002E410F">
        <w:rPr>
          <w:rFonts w:ascii="Arial" w:hAnsi="Arial"/>
          <w:sz w:val="24"/>
          <w:szCs w:val="24"/>
        </w:rPr>
        <w:t>around London in the thirties</w:t>
      </w:r>
      <w:r w:rsidR="0058260A">
        <w:rPr>
          <w:rFonts w:ascii="Arial" w:hAnsi="Arial"/>
          <w:sz w:val="24"/>
          <w:szCs w:val="24"/>
        </w:rPr>
        <w:t>,</w:t>
      </w:r>
      <w:r w:rsidR="00FB42B4" w:rsidRPr="002E410F">
        <w:rPr>
          <w:rFonts w:ascii="Arial" w:hAnsi="Arial"/>
          <w:sz w:val="24"/>
          <w:szCs w:val="24"/>
        </w:rPr>
        <w:t xml:space="preserve"> </w:t>
      </w:r>
      <w:r w:rsidR="00671062" w:rsidRPr="002E410F">
        <w:rPr>
          <w:rFonts w:ascii="Arial" w:hAnsi="Arial"/>
          <w:sz w:val="24"/>
          <w:szCs w:val="24"/>
        </w:rPr>
        <w:t>along with</w:t>
      </w:r>
      <w:r w:rsidR="001B50F5" w:rsidRPr="002E410F">
        <w:rPr>
          <w:rFonts w:ascii="Arial" w:hAnsi="Arial"/>
          <w:sz w:val="24"/>
          <w:szCs w:val="24"/>
        </w:rPr>
        <w:t xml:space="preserve"> the establish</w:t>
      </w:r>
      <w:r w:rsidRPr="002E410F">
        <w:rPr>
          <w:rFonts w:ascii="Arial" w:hAnsi="Arial"/>
          <w:sz w:val="24"/>
          <w:szCs w:val="24"/>
        </w:rPr>
        <w:t>ment</w:t>
      </w:r>
      <w:r w:rsidR="001B50F5" w:rsidRPr="002E410F">
        <w:rPr>
          <w:rFonts w:ascii="Arial" w:hAnsi="Arial"/>
          <w:sz w:val="24"/>
          <w:szCs w:val="24"/>
        </w:rPr>
        <w:t xml:space="preserve"> of the electricity National Grid</w:t>
      </w:r>
      <w:r w:rsidR="0060140C" w:rsidRPr="002E410F">
        <w:rPr>
          <w:rFonts w:ascii="Arial" w:hAnsi="Arial"/>
          <w:sz w:val="24"/>
          <w:szCs w:val="24"/>
        </w:rPr>
        <w:t>,</w:t>
      </w:r>
      <w:r w:rsidR="00E516A6" w:rsidRPr="002E410F">
        <w:rPr>
          <w:rFonts w:ascii="Arial" w:hAnsi="Arial"/>
          <w:sz w:val="24"/>
          <w:szCs w:val="24"/>
        </w:rPr>
        <w:t xml:space="preserve"> </w:t>
      </w:r>
      <w:r w:rsidR="009B47FA" w:rsidRPr="002E410F">
        <w:rPr>
          <w:rFonts w:ascii="Arial" w:hAnsi="Arial"/>
          <w:sz w:val="24"/>
          <w:szCs w:val="24"/>
        </w:rPr>
        <w:t>allow</w:t>
      </w:r>
      <w:r w:rsidR="00E516A6" w:rsidRPr="002E410F">
        <w:rPr>
          <w:rFonts w:ascii="Arial" w:hAnsi="Arial"/>
          <w:sz w:val="24"/>
          <w:szCs w:val="24"/>
        </w:rPr>
        <w:t>ed</w:t>
      </w:r>
      <w:r w:rsidR="009B47FA" w:rsidRPr="002E410F">
        <w:rPr>
          <w:rFonts w:ascii="Arial" w:hAnsi="Arial"/>
          <w:sz w:val="24"/>
          <w:szCs w:val="24"/>
        </w:rPr>
        <w:t xml:space="preserve"> </w:t>
      </w:r>
      <w:r w:rsidR="00802EFC" w:rsidRPr="002E410F">
        <w:rPr>
          <w:rFonts w:ascii="Arial" w:hAnsi="Arial"/>
          <w:sz w:val="24"/>
          <w:szCs w:val="24"/>
        </w:rPr>
        <w:t>a</w:t>
      </w:r>
      <w:r w:rsidR="00E516A6" w:rsidRPr="002E410F">
        <w:rPr>
          <w:rFonts w:ascii="Arial" w:hAnsi="Arial"/>
          <w:sz w:val="24"/>
          <w:szCs w:val="24"/>
        </w:rPr>
        <w:t>n overc</w:t>
      </w:r>
      <w:r w:rsidR="003F4B8E" w:rsidRPr="002E410F">
        <w:rPr>
          <w:rFonts w:ascii="Arial" w:hAnsi="Arial"/>
          <w:sz w:val="24"/>
          <w:szCs w:val="24"/>
        </w:rPr>
        <w:t>rowded and badly housed inner</w:t>
      </w:r>
      <w:r w:rsidR="00C201C8" w:rsidRPr="002E410F">
        <w:rPr>
          <w:rFonts w:ascii="Arial" w:hAnsi="Arial"/>
          <w:sz w:val="24"/>
          <w:szCs w:val="24"/>
        </w:rPr>
        <w:t>-</w:t>
      </w:r>
      <w:r w:rsidR="003F4B8E" w:rsidRPr="002E410F">
        <w:rPr>
          <w:rFonts w:ascii="Arial" w:hAnsi="Arial"/>
          <w:sz w:val="24"/>
          <w:szCs w:val="24"/>
        </w:rPr>
        <w:t xml:space="preserve">city </w:t>
      </w:r>
      <w:r w:rsidR="005E198F" w:rsidRPr="002E410F">
        <w:rPr>
          <w:rFonts w:ascii="Arial" w:hAnsi="Arial"/>
          <w:sz w:val="24"/>
          <w:szCs w:val="24"/>
        </w:rPr>
        <w:t xml:space="preserve">population </w:t>
      </w:r>
      <w:r w:rsidR="00C754BC" w:rsidRPr="002E410F">
        <w:rPr>
          <w:rFonts w:ascii="Arial" w:hAnsi="Arial"/>
          <w:sz w:val="24"/>
          <w:szCs w:val="24"/>
        </w:rPr>
        <w:t xml:space="preserve">to </w:t>
      </w:r>
      <w:r w:rsidR="00802EFC" w:rsidRPr="002E410F">
        <w:rPr>
          <w:rFonts w:ascii="Arial" w:hAnsi="Arial"/>
          <w:sz w:val="24"/>
          <w:szCs w:val="24"/>
        </w:rPr>
        <w:t xml:space="preserve">move to </w:t>
      </w:r>
      <w:r w:rsidR="00C754BC" w:rsidRPr="002E410F">
        <w:rPr>
          <w:rFonts w:ascii="Arial" w:hAnsi="Arial"/>
          <w:sz w:val="24"/>
          <w:szCs w:val="24"/>
        </w:rPr>
        <w:t>more</w:t>
      </w:r>
      <w:r w:rsidR="005E198F" w:rsidRPr="002E410F">
        <w:rPr>
          <w:rFonts w:ascii="Arial" w:hAnsi="Arial"/>
          <w:sz w:val="24"/>
          <w:szCs w:val="24"/>
        </w:rPr>
        <w:t xml:space="preserve"> </w:t>
      </w:r>
      <w:r w:rsidR="00C74D6F" w:rsidRPr="002E410F">
        <w:rPr>
          <w:rFonts w:ascii="Arial" w:hAnsi="Arial"/>
          <w:sz w:val="24"/>
          <w:szCs w:val="24"/>
        </w:rPr>
        <w:t>healthy</w:t>
      </w:r>
      <w:r w:rsidR="00C754BC" w:rsidRPr="002E410F">
        <w:rPr>
          <w:rFonts w:ascii="Arial" w:hAnsi="Arial"/>
          <w:sz w:val="24"/>
          <w:szCs w:val="24"/>
        </w:rPr>
        <w:t xml:space="preserve"> and</w:t>
      </w:r>
      <w:r w:rsidR="00C74D6F" w:rsidRPr="002E410F">
        <w:rPr>
          <w:rFonts w:ascii="Arial" w:hAnsi="Arial"/>
          <w:sz w:val="24"/>
          <w:szCs w:val="24"/>
        </w:rPr>
        <w:t xml:space="preserve"> </w:t>
      </w:r>
      <w:r w:rsidR="003F4B8E" w:rsidRPr="002E410F">
        <w:rPr>
          <w:rFonts w:ascii="Arial" w:hAnsi="Arial"/>
          <w:sz w:val="24"/>
          <w:szCs w:val="24"/>
        </w:rPr>
        <w:t>s</w:t>
      </w:r>
      <w:r w:rsidR="00C74D6F" w:rsidRPr="002E410F">
        <w:rPr>
          <w:rFonts w:ascii="Arial" w:hAnsi="Arial"/>
          <w:sz w:val="24"/>
          <w:szCs w:val="24"/>
        </w:rPr>
        <w:t xml:space="preserve">ecure </w:t>
      </w:r>
      <w:r w:rsidR="00C754BC" w:rsidRPr="002E410F">
        <w:rPr>
          <w:rFonts w:ascii="Arial" w:hAnsi="Arial"/>
          <w:sz w:val="24"/>
          <w:szCs w:val="24"/>
        </w:rPr>
        <w:t xml:space="preserve">suburban </w:t>
      </w:r>
      <w:r w:rsidR="00C74D6F" w:rsidRPr="002E410F">
        <w:rPr>
          <w:rFonts w:ascii="Arial" w:hAnsi="Arial"/>
          <w:sz w:val="24"/>
          <w:szCs w:val="24"/>
        </w:rPr>
        <w:t>homes</w:t>
      </w:r>
      <w:r w:rsidR="005A01D4" w:rsidRPr="002E410F">
        <w:rPr>
          <w:rFonts w:ascii="Arial" w:hAnsi="Arial"/>
          <w:sz w:val="24"/>
          <w:szCs w:val="24"/>
        </w:rPr>
        <w:t xml:space="preserve"> </w:t>
      </w:r>
      <w:r w:rsidR="00E30C1E" w:rsidRPr="002E410F">
        <w:rPr>
          <w:rFonts w:ascii="Arial" w:hAnsi="Arial"/>
          <w:sz w:val="24"/>
          <w:szCs w:val="24"/>
        </w:rPr>
        <w:t xml:space="preserve">and </w:t>
      </w:r>
      <w:r w:rsidR="005A01D4" w:rsidRPr="002E410F">
        <w:rPr>
          <w:rFonts w:ascii="Arial" w:hAnsi="Arial"/>
          <w:sz w:val="24"/>
          <w:szCs w:val="24"/>
        </w:rPr>
        <w:t>productive enterprises</w:t>
      </w:r>
      <w:r w:rsidR="002203CD" w:rsidRPr="002E410F">
        <w:rPr>
          <w:rFonts w:ascii="Arial" w:hAnsi="Arial"/>
          <w:sz w:val="24"/>
          <w:szCs w:val="24"/>
        </w:rPr>
        <w:t xml:space="preserve"> </w:t>
      </w:r>
      <w:r w:rsidR="00E30C1E" w:rsidRPr="002E410F">
        <w:rPr>
          <w:rFonts w:ascii="Arial" w:hAnsi="Arial"/>
          <w:sz w:val="24"/>
          <w:szCs w:val="24"/>
        </w:rPr>
        <w:t xml:space="preserve">to </w:t>
      </w:r>
      <w:r w:rsidR="00FC4B88" w:rsidRPr="002E410F">
        <w:rPr>
          <w:rFonts w:ascii="Arial" w:hAnsi="Arial"/>
          <w:sz w:val="24"/>
          <w:szCs w:val="24"/>
        </w:rPr>
        <w:t>establish and expand in</w:t>
      </w:r>
      <w:r w:rsidR="0004361E" w:rsidRPr="002E410F">
        <w:rPr>
          <w:rFonts w:ascii="Arial" w:hAnsi="Arial"/>
          <w:sz w:val="24"/>
          <w:szCs w:val="24"/>
        </w:rPr>
        <w:t xml:space="preserve"> more spacious</w:t>
      </w:r>
      <w:r w:rsidR="002C4FB7" w:rsidRPr="002E410F">
        <w:rPr>
          <w:rFonts w:ascii="Arial" w:hAnsi="Arial"/>
          <w:sz w:val="24"/>
          <w:szCs w:val="24"/>
        </w:rPr>
        <w:t xml:space="preserve"> green-field</w:t>
      </w:r>
      <w:r w:rsidR="00C16E9E" w:rsidRPr="002E410F">
        <w:rPr>
          <w:rFonts w:ascii="Arial" w:hAnsi="Arial"/>
          <w:sz w:val="24"/>
          <w:szCs w:val="24"/>
        </w:rPr>
        <w:t>,</w:t>
      </w:r>
      <w:r w:rsidR="002C4FB7" w:rsidRPr="002E410F">
        <w:rPr>
          <w:rFonts w:ascii="Arial" w:hAnsi="Arial"/>
          <w:sz w:val="24"/>
          <w:szCs w:val="24"/>
        </w:rPr>
        <w:t xml:space="preserve"> but well-connected</w:t>
      </w:r>
      <w:r w:rsidR="00FC4B88" w:rsidRPr="002E410F">
        <w:rPr>
          <w:rFonts w:ascii="Arial" w:hAnsi="Arial"/>
          <w:sz w:val="24"/>
          <w:szCs w:val="24"/>
        </w:rPr>
        <w:t>,</w:t>
      </w:r>
      <w:r w:rsidR="002C4FB7" w:rsidRPr="002E410F">
        <w:rPr>
          <w:rFonts w:ascii="Arial" w:hAnsi="Arial"/>
          <w:sz w:val="24"/>
          <w:szCs w:val="24"/>
        </w:rPr>
        <w:t xml:space="preserve"> sites</w:t>
      </w:r>
      <w:r w:rsidR="001944DA" w:rsidRPr="002E410F">
        <w:rPr>
          <w:rFonts w:ascii="Arial" w:hAnsi="Arial"/>
          <w:sz w:val="24"/>
          <w:szCs w:val="24"/>
        </w:rPr>
        <w:t>.</w:t>
      </w:r>
    </w:p>
    <w:p w14:paraId="59713A86" w14:textId="303FBB81" w:rsidR="003A36F9" w:rsidRPr="002E410F" w:rsidRDefault="00867341" w:rsidP="143A5A29">
      <w:pPr>
        <w:spacing w:after="390" w:line="240" w:lineRule="auto"/>
        <w:rPr>
          <w:rFonts w:ascii="Arial" w:hAnsi="Arial"/>
          <w:sz w:val="24"/>
          <w:szCs w:val="24"/>
        </w:rPr>
      </w:pPr>
      <w:r w:rsidRPr="002E410F">
        <w:rPr>
          <w:rFonts w:ascii="Arial" w:hAnsi="Arial"/>
          <w:sz w:val="24"/>
          <w:szCs w:val="24"/>
        </w:rPr>
        <w:t>Such modern ente</w:t>
      </w:r>
      <w:r w:rsidR="00C16E9E" w:rsidRPr="002E410F">
        <w:rPr>
          <w:rFonts w:ascii="Arial" w:hAnsi="Arial"/>
          <w:sz w:val="24"/>
          <w:szCs w:val="24"/>
        </w:rPr>
        <w:t>r</w:t>
      </w:r>
      <w:r w:rsidRPr="002E410F">
        <w:rPr>
          <w:rFonts w:ascii="Arial" w:hAnsi="Arial"/>
          <w:sz w:val="24"/>
          <w:szCs w:val="24"/>
        </w:rPr>
        <w:t>prises</w:t>
      </w:r>
      <w:r w:rsidR="0004361E" w:rsidRPr="002E410F">
        <w:rPr>
          <w:rFonts w:ascii="Arial" w:hAnsi="Arial"/>
          <w:sz w:val="24"/>
          <w:szCs w:val="24"/>
        </w:rPr>
        <w:t xml:space="preserve"> </w:t>
      </w:r>
      <w:r w:rsidR="00C16E9E" w:rsidRPr="002E410F">
        <w:rPr>
          <w:rFonts w:ascii="Arial" w:hAnsi="Arial"/>
          <w:sz w:val="24"/>
          <w:szCs w:val="24"/>
        </w:rPr>
        <w:t xml:space="preserve">utilized </w:t>
      </w:r>
      <w:r w:rsidR="007E14A2" w:rsidRPr="002E410F">
        <w:rPr>
          <w:rFonts w:ascii="Arial" w:hAnsi="Arial"/>
          <w:sz w:val="24"/>
          <w:szCs w:val="24"/>
        </w:rPr>
        <w:t xml:space="preserve">capital </w:t>
      </w:r>
      <w:r w:rsidR="00FC4B88" w:rsidRPr="002E410F">
        <w:rPr>
          <w:rFonts w:ascii="Arial" w:hAnsi="Arial"/>
          <w:sz w:val="24"/>
          <w:szCs w:val="24"/>
        </w:rPr>
        <w:t xml:space="preserve">to </w:t>
      </w:r>
      <w:r w:rsidR="007E14A2" w:rsidRPr="002E410F">
        <w:rPr>
          <w:rFonts w:ascii="Arial" w:hAnsi="Arial"/>
          <w:sz w:val="24"/>
          <w:szCs w:val="24"/>
        </w:rPr>
        <w:t>harness</w:t>
      </w:r>
      <w:r w:rsidR="00FC4B88" w:rsidRPr="002E410F">
        <w:rPr>
          <w:rFonts w:ascii="Arial" w:hAnsi="Arial"/>
          <w:sz w:val="24"/>
          <w:szCs w:val="24"/>
        </w:rPr>
        <w:t xml:space="preserve"> </w:t>
      </w:r>
      <w:r w:rsidR="00C16E9E" w:rsidRPr="002E410F">
        <w:rPr>
          <w:rFonts w:ascii="Arial" w:hAnsi="Arial"/>
          <w:sz w:val="24"/>
          <w:szCs w:val="24"/>
        </w:rPr>
        <w:t xml:space="preserve">the most modern </w:t>
      </w:r>
      <w:r w:rsidR="00CC4EAF" w:rsidRPr="002E410F">
        <w:rPr>
          <w:rFonts w:ascii="Arial" w:hAnsi="Arial"/>
          <w:sz w:val="24"/>
          <w:szCs w:val="24"/>
        </w:rPr>
        <w:t xml:space="preserve">industrial </w:t>
      </w:r>
      <w:r w:rsidR="00C16E9E" w:rsidRPr="002E410F">
        <w:rPr>
          <w:rFonts w:ascii="Arial" w:hAnsi="Arial"/>
          <w:sz w:val="24"/>
          <w:szCs w:val="24"/>
        </w:rPr>
        <w:t>machinery</w:t>
      </w:r>
      <w:r w:rsidR="007E14A2" w:rsidRPr="002E410F">
        <w:rPr>
          <w:rFonts w:ascii="Arial" w:hAnsi="Arial"/>
          <w:sz w:val="24"/>
          <w:szCs w:val="24"/>
        </w:rPr>
        <w:t xml:space="preserve"> </w:t>
      </w:r>
      <w:r w:rsidR="00CC4EAF" w:rsidRPr="002E410F">
        <w:rPr>
          <w:rFonts w:ascii="Arial" w:hAnsi="Arial"/>
          <w:sz w:val="24"/>
          <w:szCs w:val="24"/>
        </w:rPr>
        <w:t xml:space="preserve">and processes </w:t>
      </w:r>
      <w:r w:rsidR="000B6CF9" w:rsidRPr="002E410F">
        <w:rPr>
          <w:rFonts w:ascii="Arial" w:hAnsi="Arial"/>
          <w:sz w:val="24"/>
          <w:szCs w:val="24"/>
        </w:rPr>
        <w:t xml:space="preserve">that </w:t>
      </w:r>
      <w:r w:rsidR="0006136E" w:rsidRPr="002E410F">
        <w:rPr>
          <w:rFonts w:ascii="Arial" w:hAnsi="Arial"/>
          <w:sz w:val="24"/>
          <w:szCs w:val="24"/>
        </w:rPr>
        <w:t>increased labour produc</w:t>
      </w:r>
      <w:r w:rsidR="0036619B" w:rsidRPr="002E410F">
        <w:rPr>
          <w:rFonts w:ascii="Arial" w:hAnsi="Arial"/>
          <w:sz w:val="24"/>
          <w:szCs w:val="24"/>
        </w:rPr>
        <w:t>t</w:t>
      </w:r>
      <w:r w:rsidR="0006136E" w:rsidRPr="002E410F">
        <w:rPr>
          <w:rFonts w:ascii="Arial" w:hAnsi="Arial"/>
          <w:sz w:val="24"/>
          <w:szCs w:val="24"/>
        </w:rPr>
        <w:t>iv</w:t>
      </w:r>
      <w:r w:rsidR="0036619B" w:rsidRPr="002E410F">
        <w:rPr>
          <w:rFonts w:ascii="Arial" w:hAnsi="Arial"/>
          <w:sz w:val="24"/>
          <w:szCs w:val="24"/>
        </w:rPr>
        <w:t>ity</w:t>
      </w:r>
      <w:r w:rsidR="00FC4B88" w:rsidRPr="002E410F">
        <w:rPr>
          <w:rFonts w:ascii="Arial" w:hAnsi="Arial"/>
          <w:sz w:val="24"/>
          <w:szCs w:val="24"/>
        </w:rPr>
        <w:t>,</w:t>
      </w:r>
      <w:r w:rsidR="00CC4EAF" w:rsidRPr="002E410F">
        <w:rPr>
          <w:rFonts w:ascii="Arial" w:hAnsi="Arial"/>
          <w:sz w:val="24"/>
          <w:szCs w:val="24"/>
        </w:rPr>
        <w:t xml:space="preserve"> and hence wages and profits</w:t>
      </w:r>
      <w:r w:rsidR="003A36F9" w:rsidRPr="002E410F">
        <w:rPr>
          <w:rFonts w:ascii="Arial" w:hAnsi="Arial"/>
          <w:sz w:val="24"/>
          <w:szCs w:val="24"/>
        </w:rPr>
        <w:t>.</w:t>
      </w:r>
    </w:p>
    <w:p w14:paraId="47581204" w14:textId="2C564ED5" w:rsidR="00CA3A42" w:rsidRPr="002E410F" w:rsidRDefault="00614818" w:rsidP="143A5A29">
      <w:pPr>
        <w:spacing w:after="390" w:line="240" w:lineRule="auto"/>
        <w:rPr>
          <w:rFonts w:ascii="Arial" w:hAnsi="Arial"/>
          <w:sz w:val="24"/>
          <w:szCs w:val="24"/>
        </w:rPr>
      </w:pPr>
      <w:r w:rsidRPr="002E410F">
        <w:rPr>
          <w:rFonts w:ascii="Arial" w:hAnsi="Arial"/>
          <w:sz w:val="24"/>
          <w:szCs w:val="24"/>
        </w:rPr>
        <w:t>Pos</w:t>
      </w:r>
      <w:r w:rsidR="00E9766E" w:rsidRPr="002E410F">
        <w:rPr>
          <w:rFonts w:ascii="Arial" w:hAnsi="Arial"/>
          <w:sz w:val="24"/>
          <w:szCs w:val="24"/>
        </w:rPr>
        <w:t>t-war</w:t>
      </w:r>
      <w:r w:rsidRPr="002E410F">
        <w:rPr>
          <w:rFonts w:ascii="Arial" w:hAnsi="Arial"/>
          <w:sz w:val="24"/>
          <w:szCs w:val="24"/>
        </w:rPr>
        <w:t xml:space="preserve">, the building of </w:t>
      </w:r>
      <w:r w:rsidR="003A36F9" w:rsidRPr="002E410F">
        <w:rPr>
          <w:rFonts w:ascii="Arial" w:hAnsi="Arial"/>
          <w:sz w:val="24"/>
          <w:szCs w:val="24"/>
        </w:rPr>
        <w:t xml:space="preserve">the </w:t>
      </w:r>
      <w:r w:rsidR="00E9766E" w:rsidRPr="002E410F">
        <w:rPr>
          <w:rFonts w:ascii="Arial" w:hAnsi="Arial"/>
          <w:sz w:val="24"/>
          <w:szCs w:val="24"/>
        </w:rPr>
        <w:t>mot</w:t>
      </w:r>
      <w:r w:rsidR="00C5458D" w:rsidRPr="002E410F">
        <w:rPr>
          <w:rFonts w:ascii="Arial" w:hAnsi="Arial"/>
          <w:sz w:val="24"/>
          <w:szCs w:val="24"/>
        </w:rPr>
        <w:t>orway</w:t>
      </w:r>
      <w:r w:rsidR="003A36F9" w:rsidRPr="002E410F">
        <w:rPr>
          <w:rFonts w:ascii="Arial" w:hAnsi="Arial"/>
          <w:sz w:val="24"/>
          <w:szCs w:val="24"/>
        </w:rPr>
        <w:t xml:space="preserve"> system</w:t>
      </w:r>
      <w:r w:rsidR="00A454AB" w:rsidRPr="002E410F">
        <w:rPr>
          <w:rFonts w:ascii="Arial" w:hAnsi="Arial"/>
          <w:sz w:val="24"/>
          <w:szCs w:val="24"/>
        </w:rPr>
        <w:t>,</w:t>
      </w:r>
      <w:r w:rsidR="00C5458D" w:rsidRPr="002E410F">
        <w:rPr>
          <w:rFonts w:ascii="Arial" w:hAnsi="Arial"/>
          <w:sz w:val="24"/>
          <w:szCs w:val="24"/>
        </w:rPr>
        <w:t xml:space="preserve"> </w:t>
      </w:r>
      <w:r w:rsidR="006E33C0" w:rsidRPr="002E410F">
        <w:rPr>
          <w:rFonts w:ascii="Arial" w:hAnsi="Arial"/>
          <w:sz w:val="24"/>
          <w:szCs w:val="24"/>
        </w:rPr>
        <w:t xml:space="preserve">improved universal access to education, </w:t>
      </w:r>
      <w:r w:rsidR="008F3A87" w:rsidRPr="002E410F">
        <w:rPr>
          <w:rFonts w:ascii="Arial" w:hAnsi="Arial"/>
          <w:sz w:val="24"/>
          <w:szCs w:val="24"/>
        </w:rPr>
        <w:t xml:space="preserve">as well as </w:t>
      </w:r>
      <w:r w:rsidR="00DF7101" w:rsidRPr="002E410F">
        <w:rPr>
          <w:rFonts w:ascii="Arial" w:hAnsi="Arial"/>
          <w:sz w:val="24"/>
          <w:szCs w:val="24"/>
        </w:rPr>
        <w:t>mass car-ownership</w:t>
      </w:r>
      <w:r w:rsidR="00122367" w:rsidRPr="002E410F">
        <w:rPr>
          <w:rFonts w:ascii="Arial" w:hAnsi="Arial"/>
          <w:sz w:val="24"/>
          <w:szCs w:val="24"/>
        </w:rPr>
        <w:t>,</w:t>
      </w:r>
      <w:r w:rsidR="008F3A87" w:rsidRPr="002E410F">
        <w:rPr>
          <w:rFonts w:ascii="Arial" w:hAnsi="Arial"/>
          <w:sz w:val="24"/>
          <w:szCs w:val="24"/>
        </w:rPr>
        <w:t xml:space="preserve"> </w:t>
      </w:r>
      <w:r w:rsidR="00784B69" w:rsidRPr="002E410F">
        <w:rPr>
          <w:rFonts w:ascii="Arial" w:hAnsi="Arial"/>
          <w:sz w:val="24"/>
          <w:szCs w:val="24"/>
        </w:rPr>
        <w:t>tended to reinforce that virtuous circle</w:t>
      </w:r>
      <w:r w:rsidR="001C219F" w:rsidRPr="002E410F">
        <w:rPr>
          <w:rFonts w:ascii="Arial" w:hAnsi="Arial"/>
          <w:sz w:val="24"/>
          <w:szCs w:val="24"/>
        </w:rPr>
        <w:t>.</w:t>
      </w:r>
      <w:r w:rsidR="00F916FB" w:rsidRPr="002E410F">
        <w:rPr>
          <w:rFonts w:ascii="Arial" w:hAnsi="Arial"/>
          <w:sz w:val="24"/>
          <w:szCs w:val="24"/>
        </w:rPr>
        <w:t xml:space="preserve"> </w:t>
      </w:r>
      <w:r w:rsidR="001C219F" w:rsidRPr="002E410F">
        <w:rPr>
          <w:rFonts w:ascii="Arial" w:hAnsi="Arial"/>
          <w:sz w:val="24"/>
          <w:szCs w:val="24"/>
        </w:rPr>
        <w:t xml:space="preserve">Industry became more footloose, </w:t>
      </w:r>
      <w:r w:rsidR="0057059F" w:rsidRPr="002E410F">
        <w:rPr>
          <w:rFonts w:ascii="Arial" w:hAnsi="Arial"/>
          <w:sz w:val="24"/>
          <w:szCs w:val="24"/>
        </w:rPr>
        <w:t>expand</w:t>
      </w:r>
      <w:r w:rsidR="00F916FB" w:rsidRPr="002E410F">
        <w:rPr>
          <w:rFonts w:ascii="Arial" w:hAnsi="Arial"/>
          <w:sz w:val="24"/>
          <w:szCs w:val="24"/>
        </w:rPr>
        <w:t>ing</w:t>
      </w:r>
      <w:r w:rsidR="0057059F" w:rsidRPr="002E410F">
        <w:rPr>
          <w:rFonts w:ascii="Arial" w:hAnsi="Arial"/>
          <w:sz w:val="24"/>
          <w:szCs w:val="24"/>
        </w:rPr>
        <w:t xml:space="preserve"> </w:t>
      </w:r>
      <w:r w:rsidR="00F3146E" w:rsidRPr="002E410F">
        <w:rPr>
          <w:rFonts w:ascii="Arial" w:hAnsi="Arial"/>
          <w:sz w:val="24"/>
          <w:szCs w:val="24"/>
        </w:rPr>
        <w:t xml:space="preserve">production </w:t>
      </w:r>
      <w:r w:rsidR="00295CA4" w:rsidRPr="002E410F">
        <w:rPr>
          <w:rFonts w:ascii="Arial" w:hAnsi="Arial"/>
          <w:sz w:val="24"/>
          <w:szCs w:val="24"/>
        </w:rPr>
        <w:t>in</w:t>
      </w:r>
      <w:r w:rsidR="0057059F" w:rsidRPr="002E410F">
        <w:rPr>
          <w:rFonts w:ascii="Arial" w:hAnsi="Arial"/>
          <w:sz w:val="24"/>
          <w:szCs w:val="24"/>
        </w:rPr>
        <w:t xml:space="preserve"> well-connected </w:t>
      </w:r>
      <w:r w:rsidR="00F3146E" w:rsidRPr="002E410F">
        <w:rPr>
          <w:rFonts w:ascii="Arial" w:hAnsi="Arial"/>
          <w:sz w:val="24"/>
          <w:szCs w:val="24"/>
        </w:rPr>
        <w:t xml:space="preserve">modern factories, </w:t>
      </w:r>
      <w:r w:rsidR="00FC2519" w:rsidRPr="002E410F">
        <w:rPr>
          <w:rFonts w:ascii="Arial" w:hAnsi="Arial"/>
          <w:sz w:val="24"/>
          <w:szCs w:val="24"/>
        </w:rPr>
        <w:t xml:space="preserve">whose workers </w:t>
      </w:r>
      <w:r w:rsidR="00350011" w:rsidRPr="002E410F">
        <w:rPr>
          <w:rFonts w:ascii="Arial" w:hAnsi="Arial"/>
          <w:sz w:val="24"/>
          <w:szCs w:val="24"/>
        </w:rPr>
        <w:t>could</w:t>
      </w:r>
      <w:r w:rsidR="00FC2519" w:rsidRPr="002E410F">
        <w:rPr>
          <w:rFonts w:ascii="Arial" w:hAnsi="Arial"/>
          <w:sz w:val="24"/>
          <w:szCs w:val="24"/>
        </w:rPr>
        <w:t xml:space="preserve"> commute by car, within a </w:t>
      </w:r>
      <w:r w:rsidR="00350011" w:rsidRPr="002E410F">
        <w:rPr>
          <w:rFonts w:ascii="Arial" w:hAnsi="Arial"/>
          <w:sz w:val="24"/>
          <w:szCs w:val="24"/>
        </w:rPr>
        <w:t xml:space="preserve">wider </w:t>
      </w:r>
      <w:r w:rsidR="00FC2519" w:rsidRPr="002E410F">
        <w:rPr>
          <w:rFonts w:ascii="Arial" w:hAnsi="Arial"/>
          <w:sz w:val="24"/>
          <w:szCs w:val="24"/>
        </w:rPr>
        <w:t>macro-economic environment marked by</w:t>
      </w:r>
      <w:r w:rsidR="00753A17" w:rsidRPr="002E410F">
        <w:rPr>
          <w:rFonts w:ascii="Arial" w:hAnsi="Arial"/>
          <w:sz w:val="24"/>
          <w:szCs w:val="24"/>
        </w:rPr>
        <w:t xml:space="preserve"> steadily</w:t>
      </w:r>
      <w:r w:rsidR="00FC2519" w:rsidRPr="002E410F">
        <w:rPr>
          <w:rFonts w:ascii="Arial" w:hAnsi="Arial"/>
          <w:sz w:val="24"/>
          <w:szCs w:val="24"/>
        </w:rPr>
        <w:t xml:space="preserve"> rising </w:t>
      </w:r>
      <w:r w:rsidR="00753A17" w:rsidRPr="002E410F">
        <w:rPr>
          <w:rFonts w:ascii="Arial" w:hAnsi="Arial"/>
          <w:sz w:val="24"/>
          <w:szCs w:val="24"/>
        </w:rPr>
        <w:t>incomes and demand for most of the products produced</w:t>
      </w:r>
      <w:r w:rsidR="00350011" w:rsidRPr="002E410F">
        <w:rPr>
          <w:rFonts w:ascii="Arial" w:hAnsi="Arial"/>
          <w:sz w:val="24"/>
          <w:szCs w:val="24"/>
        </w:rPr>
        <w:t xml:space="preserve"> that encouraged </w:t>
      </w:r>
      <w:r w:rsidR="00890E61" w:rsidRPr="002E410F">
        <w:rPr>
          <w:rFonts w:ascii="Arial" w:hAnsi="Arial"/>
          <w:sz w:val="24"/>
          <w:szCs w:val="24"/>
        </w:rPr>
        <w:t>further productivity-enhancing investment in plant, machinery, and human capital: a positive feedback circle.</w:t>
      </w:r>
    </w:p>
    <w:p w14:paraId="6080888A" w14:textId="354B4C43" w:rsidR="0072740D" w:rsidRPr="002E410F" w:rsidRDefault="007B3DE6" w:rsidP="143A5A29">
      <w:pPr>
        <w:spacing w:after="390" w:line="240" w:lineRule="auto"/>
        <w:rPr>
          <w:rFonts w:ascii="Arial" w:hAnsi="Arial"/>
          <w:sz w:val="24"/>
          <w:szCs w:val="24"/>
        </w:rPr>
      </w:pPr>
      <w:r w:rsidRPr="002E410F">
        <w:rPr>
          <w:rFonts w:ascii="Arial" w:hAnsi="Arial"/>
          <w:sz w:val="24"/>
          <w:szCs w:val="24"/>
        </w:rPr>
        <w:t>T</w:t>
      </w:r>
      <w:r w:rsidR="00694961" w:rsidRPr="002E410F">
        <w:rPr>
          <w:rFonts w:ascii="Arial" w:hAnsi="Arial"/>
          <w:sz w:val="24"/>
          <w:szCs w:val="24"/>
        </w:rPr>
        <w:t>he de-indu</w:t>
      </w:r>
      <w:r w:rsidR="00F60196" w:rsidRPr="002E410F">
        <w:rPr>
          <w:rFonts w:ascii="Arial" w:hAnsi="Arial"/>
          <w:sz w:val="24"/>
          <w:szCs w:val="24"/>
        </w:rPr>
        <w:t>strialisation of the eighties</w:t>
      </w:r>
      <w:r w:rsidR="009750B2" w:rsidRPr="002E410F">
        <w:rPr>
          <w:rFonts w:ascii="Arial" w:hAnsi="Arial"/>
          <w:sz w:val="24"/>
          <w:szCs w:val="24"/>
        </w:rPr>
        <w:t xml:space="preserve"> </w:t>
      </w:r>
      <w:r w:rsidRPr="002E410F">
        <w:rPr>
          <w:rFonts w:ascii="Arial" w:hAnsi="Arial"/>
          <w:sz w:val="24"/>
          <w:szCs w:val="24"/>
        </w:rPr>
        <w:t xml:space="preserve">was followed by </w:t>
      </w:r>
      <w:r w:rsidR="000905F2" w:rsidRPr="002E410F">
        <w:rPr>
          <w:rFonts w:ascii="Arial" w:hAnsi="Arial"/>
          <w:sz w:val="24"/>
          <w:szCs w:val="24"/>
        </w:rPr>
        <w:t>an</w:t>
      </w:r>
      <w:r w:rsidR="00971A42" w:rsidRPr="002E410F">
        <w:rPr>
          <w:rFonts w:ascii="Arial" w:hAnsi="Arial"/>
          <w:sz w:val="24"/>
          <w:szCs w:val="24"/>
        </w:rPr>
        <w:t xml:space="preserve"> accelerated </w:t>
      </w:r>
      <w:r w:rsidR="001631C8" w:rsidRPr="002E410F">
        <w:rPr>
          <w:rFonts w:ascii="Arial" w:hAnsi="Arial"/>
          <w:sz w:val="24"/>
          <w:szCs w:val="24"/>
        </w:rPr>
        <w:t xml:space="preserve">sectoral </w:t>
      </w:r>
      <w:r w:rsidR="0084679C" w:rsidRPr="002E410F">
        <w:rPr>
          <w:rFonts w:ascii="Arial" w:hAnsi="Arial"/>
          <w:sz w:val="24"/>
          <w:szCs w:val="24"/>
        </w:rPr>
        <w:t xml:space="preserve">shift </w:t>
      </w:r>
      <w:r w:rsidR="0016227A" w:rsidRPr="002E410F">
        <w:rPr>
          <w:rFonts w:ascii="Arial" w:hAnsi="Arial"/>
          <w:sz w:val="24"/>
          <w:szCs w:val="24"/>
        </w:rPr>
        <w:t>into fin</w:t>
      </w:r>
      <w:r w:rsidR="00B316AB" w:rsidRPr="002E410F">
        <w:rPr>
          <w:rFonts w:ascii="Arial" w:hAnsi="Arial"/>
          <w:sz w:val="24"/>
          <w:szCs w:val="24"/>
        </w:rPr>
        <w:t>an</w:t>
      </w:r>
      <w:r w:rsidR="0016227A" w:rsidRPr="002E410F">
        <w:rPr>
          <w:rFonts w:ascii="Arial" w:hAnsi="Arial"/>
          <w:sz w:val="24"/>
          <w:szCs w:val="24"/>
        </w:rPr>
        <w:t>cial</w:t>
      </w:r>
      <w:r w:rsidR="00B316AB" w:rsidRPr="002E410F">
        <w:rPr>
          <w:rFonts w:ascii="Arial" w:hAnsi="Arial"/>
          <w:sz w:val="24"/>
          <w:szCs w:val="24"/>
        </w:rPr>
        <w:t>, pro</w:t>
      </w:r>
      <w:r w:rsidR="0000790E" w:rsidRPr="002E410F">
        <w:rPr>
          <w:rFonts w:ascii="Arial" w:hAnsi="Arial"/>
          <w:sz w:val="24"/>
          <w:szCs w:val="24"/>
        </w:rPr>
        <w:t>f</w:t>
      </w:r>
      <w:r w:rsidR="00B316AB" w:rsidRPr="002E410F">
        <w:rPr>
          <w:rFonts w:ascii="Arial" w:hAnsi="Arial"/>
          <w:sz w:val="24"/>
          <w:szCs w:val="24"/>
        </w:rPr>
        <w:t>essional</w:t>
      </w:r>
      <w:r w:rsidR="0016227A" w:rsidRPr="002E410F">
        <w:rPr>
          <w:rFonts w:ascii="Arial" w:hAnsi="Arial"/>
          <w:sz w:val="24"/>
          <w:szCs w:val="24"/>
        </w:rPr>
        <w:t xml:space="preserve"> </w:t>
      </w:r>
      <w:r w:rsidR="00F60196" w:rsidRPr="002E410F">
        <w:rPr>
          <w:rFonts w:ascii="Arial" w:hAnsi="Arial"/>
          <w:sz w:val="24"/>
          <w:szCs w:val="24"/>
        </w:rPr>
        <w:t>and</w:t>
      </w:r>
      <w:r w:rsidR="000905F2" w:rsidRPr="002E410F">
        <w:rPr>
          <w:rFonts w:ascii="Arial" w:hAnsi="Arial"/>
          <w:sz w:val="24"/>
          <w:szCs w:val="24"/>
        </w:rPr>
        <w:t xml:space="preserve"> other services</w:t>
      </w:r>
      <w:r w:rsidR="008812E1" w:rsidRPr="002E410F">
        <w:rPr>
          <w:rFonts w:ascii="Arial" w:hAnsi="Arial"/>
          <w:sz w:val="24"/>
          <w:szCs w:val="24"/>
        </w:rPr>
        <w:t>.</w:t>
      </w:r>
      <w:r w:rsidR="009E3930" w:rsidRPr="002E410F">
        <w:rPr>
          <w:rFonts w:ascii="Arial" w:hAnsi="Arial"/>
          <w:sz w:val="24"/>
          <w:szCs w:val="24"/>
        </w:rPr>
        <w:t xml:space="preserve"> </w:t>
      </w:r>
      <w:r w:rsidR="008812E1" w:rsidRPr="002E410F">
        <w:rPr>
          <w:rFonts w:ascii="Arial" w:hAnsi="Arial"/>
          <w:sz w:val="24"/>
          <w:szCs w:val="24"/>
        </w:rPr>
        <w:t>P</w:t>
      </w:r>
      <w:r w:rsidR="007B635C" w:rsidRPr="002E410F">
        <w:rPr>
          <w:rFonts w:ascii="Arial" w:hAnsi="Arial"/>
          <w:sz w:val="24"/>
          <w:szCs w:val="24"/>
        </w:rPr>
        <w:t>roductivity-enhancing tech</w:t>
      </w:r>
      <w:r w:rsidR="009D6CD1" w:rsidRPr="002E410F">
        <w:rPr>
          <w:rFonts w:ascii="Arial" w:hAnsi="Arial"/>
          <w:sz w:val="24"/>
          <w:szCs w:val="24"/>
        </w:rPr>
        <w:t>n</w:t>
      </w:r>
      <w:r w:rsidR="007B635C" w:rsidRPr="002E410F">
        <w:rPr>
          <w:rFonts w:ascii="Arial" w:hAnsi="Arial"/>
          <w:sz w:val="24"/>
          <w:szCs w:val="24"/>
        </w:rPr>
        <w:t>o</w:t>
      </w:r>
      <w:r w:rsidR="009D6CD1" w:rsidRPr="002E410F">
        <w:rPr>
          <w:rFonts w:ascii="Arial" w:hAnsi="Arial"/>
          <w:sz w:val="24"/>
          <w:szCs w:val="24"/>
        </w:rPr>
        <w:t xml:space="preserve">logical </w:t>
      </w:r>
      <w:r w:rsidR="00972158" w:rsidRPr="002E410F">
        <w:rPr>
          <w:rFonts w:ascii="Arial" w:hAnsi="Arial"/>
          <w:sz w:val="24"/>
          <w:szCs w:val="24"/>
        </w:rPr>
        <w:t xml:space="preserve">and process </w:t>
      </w:r>
      <w:r w:rsidR="009D6CD1" w:rsidRPr="002E410F">
        <w:rPr>
          <w:rFonts w:ascii="Arial" w:hAnsi="Arial"/>
          <w:sz w:val="24"/>
          <w:szCs w:val="24"/>
        </w:rPr>
        <w:t>innovation</w:t>
      </w:r>
      <w:r w:rsidR="009E3930" w:rsidRPr="002E410F">
        <w:rPr>
          <w:rFonts w:ascii="Arial" w:hAnsi="Arial"/>
          <w:sz w:val="24"/>
          <w:szCs w:val="24"/>
        </w:rPr>
        <w:t>s</w:t>
      </w:r>
      <w:r w:rsidR="00972158" w:rsidRPr="002E410F">
        <w:rPr>
          <w:rFonts w:ascii="Arial" w:hAnsi="Arial"/>
          <w:sz w:val="24"/>
          <w:szCs w:val="24"/>
        </w:rPr>
        <w:t xml:space="preserve"> in the computer and information-technology </w:t>
      </w:r>
      <w:r w:rsidR="00AA30EA" w:rsidRPr="002E410F">
        <w:rPr>
          <w:rFonts w:ascii="Arial" w:hAnsi="Arial"/>
          <w:sz w:val="24"/>
          <w:szCs w:val="24"/>
        </w:rPr>
        <w:t>areas</w:t>
      </w:r>
      <w:r w:rsidR="008812E1" w:rsidRPr="002E410F">
        <w:rPr>
          <w:rFonts w:ascii="Arial" w:hAnsi="Arial"/>
          <w:sz w:val="24"/>
          <w:szCs w:val="24"/>
        </w:rPr>
        <w:t xml:space="preserve"> </w:t>
      </w:r>
      <w:r w:rsidR="00A24275" w:rsidRPr="002E410F">
        <w:rPr>
          <w:rFonts w:ascii="Arial" w:hAnsi="Arial"/>
          <w:sz w:val="24"/>
          <w:szCs w:val="24"/>
        </w:rPr>
        <w:t>prove</w:t>
      </w:r>
      <w:r w:rsidR="00B12CFE" w:rsidRPr="002E410F">
        <w:rPr>
          <w:rFonts w:ascii="Arial" w:hAnsi="Arial"/>
          <w:sz w:val="24"/>
          <w:szCs w:val="24"/>
        </w:rPr>
        <w:t xml:space="preserve">d </w:t>
      </w:r>
      <w:r w:rsidR="00326C73" w:rsidRPr="002E410F">
        <w:rPr>
          <w:rFonts w:ascii="Arial" w:hAnsi="Arial"/>
          <w:sz w:val="24"/>
          <w:szCs w:val="24"/>
        </w:rPr>
        <w:t xml:space="preserve">key to </w:t>
      </w:r>
      <w:r w:rsidR="00124E10" w:rsidRPr="002E410F">
        <w:rPr>
          <w:rFonts w:ascii="Arial" w:hAnsi="Arial"/>
          <w:sz w:val="24"/>
          <w:szCs w:val="24"/>
        </w:rPr>
        <w:t xml:space="preserve">their </w:t>
      </w:r>
      <w:r w:rsidR="008812E1" w:rsidRPr="002E410F">
        <w:rPr>
          <w:rFonts w:ascii="Arial" w:hAnsi="Arial"/>
          <w:sz w:val="24"/>
          <w:szCs w:val="24"/>
        </w:rPr>
        <w:t>expansion</w:t>
      </w:r>
      <w:r w:rsidR="00AA30EA" w:rsidRPr="002E410F">
        <w:rPr>
          <w:rFonts w:ascii="Arial" w:hAnsi="Arial"/>
          <w:sz w:val="24"/>
          <w:szCs w:val="24"/>
        </w:rPr>
        <w:t>.</w:t>
      </w:r>
    </w:p>
    <w:p w14:paraId="4E498AC9" w14:textId="0F0818F0" w:rsidR="00584DF7" w:rsidRPr="002E410F" w:rsidRDefault="009B4F48" w:rsidP="143A5A29">
      <w:pPr>
        <w:spacing w:after="390" w:line="240" w:lineRule="auto"/>
        <w:rPr>
          <w:rFonts w:ascii="Arial" w:hAnsi="Arial"/>
          <w:sz w:val="24"/>
          <w:szCs w:val="24"/>
        </w:rPr>
      </w:pPr>
      <w:r w:rsidRPr="002E410F">
        <w:rPr>
          <w:rFonts w:ascii="Arial" w:hAnsi="Arial"/>
          <w:sz w:val="24"/>
          <w:szCs w:val="24"/>
        </w:rPr>
        <w:t>T</w:t>
      </w:r>
      <w:r w:rsidR="0072740D" w:rsidRPr="002E410F">
        <w:rPr>
          <w:rFonts w:ascii="Arial" w:hAnsi="Arial"/>
          <w:sz w:val="24"/>
          <w:szCs w:val="24"/>
        </w:rPr>
        <w:t>hese and the later rol</w:t>
      </w:r>
      <w:r w:rsidR="000E172A" w:rsidRPr="002E410F">
        <w:rPr>
          <w:rFonts w:ascii="Arial" w:hAnsi="Arial"/>
          <w:sz w:val="24"/>
          <w:szCs w:val="24"/>
        </w:rPr>
        <w:t>l-</w:t>
      </w:r>
      <w:r w:rsidR="0072740D" w:rsidRPr="002E410F">
        <w:rPr>
          <w:rFonts w:ascii="Arial" w:hAnsi="Arial"/>
          <w:sz w:val="24"/>
          <w:szCs w:val="24"/>
        </w:rPr>
        <w:t xml:space="preserve">out of digital broadband </w:t>
      </w:r>
      <w:r w:rsidRPr="002E410F">
        <w:rPr>
          <w:rFonts w:ascii="Arial" w:hAnsi="Arial"/>
          <w:sz w:val="24"/>
          <w:szCs w:val="24"/>
        </w:rPr>
        <w:t>infrastructure</w:t>
      </w:r>
      <w:r w:rsidR="000E172A" w:rsidRPr="002E410F">
        <w:rPr>
          <w:rFonts w:ascii="Arial" w:hAnsi="Arial"/>
          <w:sz w:val="24"/>
          <w:szCs w:val="24"/>
        </w:rPr>
        <w:t xml:space="preserve"> networks</w:t>
      </w:r>
      <w:r w:rsidR="00FA0687" w:rsidRPr="002E410F">
        <w:rPr>
          <w:rFonts w:ascii="Arial" w:hAnsi="Arial"/>
          <w:sz w:val="24"/>
          <w:szCs w:val="24"/>
        </w:rPr>
        <w:t xml:space="preserve"> helped to enable a</w:t>
      </w:r>
      <w:r w:rsidR="00C36494" w:rsidRPr="002E410F">
        <w:rPr>
          <w:rFonts w:ascii="Arial" w:hAnsi="Arial"/>
          <w:sz w:val="24"/>
          <w:szCs w:val="24"/>
        </w:rPr>
        <w:t>nd</w:t>
      </w:r>
      <w:r w:rsidR="005F3C35" w:rsidRPr="002E410F">
        <w:rPr>
          <w:rFonts w:ascii="Arial" w:hAnsi="Arial"/>
          <w:sz w:val="24"/>
          <w:szCs w:val="24"/>
        </w:rPr>
        <w:t xml:space="preserve"> </w:t>
      </w:r>
      <w:r w:rsidR="00811661" w:rsidRPr="002E410F">
        <w:rPr>
          <w:rFonts w:ascii="Arial" w:hAnsi="Arial"/>
          <w:sz w:val="24"/>
          <w:szCs w:val="24"/>
        </w:rPr>
        <w:t>encourag</w:t>
      </w:r>
      <w:r w:rsidR="005F3C35" w:rsidRPr="002E410F">
        <w:rPr>
          <w:rFonts w:ascii="Arial" w:hAnsi="Arial"/>
          <w:sz w:val="24"/>
          <w:szCs w:val="24"/>
        </w:rPr>
        <w:t>e</w:t>
      </w:r>
      <w:r w:rsidR="00811661" w:rsidRPr="002E410F">
        <w:rPr>
          <w:rFonts w:ascii="Arial" w:hAnsi="Arial"/>
          <w:sz w:val="24"/>
          <w:szCs w:val="24"/>
        </w:rPr>
        <w:t xml:space="preserve"> the</w:t>
      </w:r>
      <w:r w:rsidR="00520577" w:rsidRPr="002E410F">
        <w:rPr>
          <w:rFonts w:ascii="Arial" w:hAnsi="Arial"/>
          <w:sz w:val="24"/>
          <w:szCs w:val="24"/>
        </w:rPr>
        <w:t xml:space="preserve"> agglomeration </w:t>
      </w:r>
      <w:r w:rsidR="00C1267D" w:rsidRPr="002E410F">
        <w:rPr>
          <w:rFonts w:ascii="Arial" w:hAnsi="Arial"/>
          <w:sz w:val="24"/>
          <w:szCs w:val="24"/>
        </w:rPr>
        <w:t>of workers</w:t>
      </w:r>
      <w:r w:rsidR="00865B97" w:rsidRPr="002E410F">
        <w:rPr>
          <w:rFonts w:ascii="Arial" w:hAnsi="Arial"/>
          <w:sz w:val="24"/>
          <w:szCs w:val="24"/>
        </w:rPr>
        <w:t xml:space="preserve"> - </w:t>
      </w:r>
      <w:r w:rsidR="002E05CF" w:rsidRPr="002E410F">
        <w:rPr>
          <w:rFonts w:ascii="Arial" w:hAnsi="Arial"/>
          <w:sz w:val="24"/>
          <w:szCs w:val="24"/>
        </w:rPr>
        <w:t>particular</w:t>
      </w:r>
      <w:r w:rsidR="00FB1B33" w:rsidRPr="002E410F">
        <w:rPr>
          <w:rFonts w:ascii="Arial" w:hAnsi="Arial"/>
          <w:sz w:val="24"/>
          <w:szCs w:val="24"/>
        </w:rPr>
        <w:t>l</w:t>
      </w:r>
      <w:r w:rsidR="002E05CF" w:rsidRPr="002E410F">
        <w:rPr>
          <w:rFonts w:ascii="Arial" w:hAnsi="Arial"/>
          <w:sz w:val="24"/>
          <w:szCs w:val="24"/>
        </w:rPr>
        <w:t xml:space="preserve">y </w:t>
      </w:r>
      <w:r w:rsidR="00865B97" w:rsidRPr="002E410F">
        <w:rPr>
          <w:rFonts w:ascii="Arial" w:hAnsi="Arial"/>
          <w:sz w:val="24"/>
          <w:szCs w:val="24"/>
        </w:rPr>
        <w:t>skilled</w:t>
      </w:r>
      <w:r w:rsidR="002E05CF" w:rsidRPr="002E410F">
        <w:rPr>
          <w:rFonts w:ascii="Arial" w:hAnsi="Arial"/>
          <w:sz w:val="24"/>
          <w:szCs w:val="24"/>
        </w:rPr>
        <w:t xml:space="preserve"> and educated workers</w:t>
      </w:r>
      <w:r w:rsidR="00FB1B33" w:rsidRPr="002E410F">
        <w:rPr>
          <w:rFonts w:ascii="Arial" w:hAnsi="Arial"/>
          <w:sz w:val="24"/>
          <w:szCs w:val="24"/>
        </w:rPr>
        <w:t xml:space="preserve"> in the services sector - </w:t>
      </w:r>
      <w:r w:rsidR="00FA0687" w:rsidRPr="002E410F">
        <w:rPr>
          <w:rFonts w:ascii="Arial" w:hAnsi="Arial"/>
          <w:sz w:val="24"/>
          <w:szCs w:val="24"/>
        </w:rPr>
        <w:t>b</w:t>
      </w:r>
      <w:r w:rsidR="00865B97" w:rsidRPr="002E410F">
        <w:rPr>
          <w:rFonts w:ascii="Arial" w:hAnsi="Arial"/>
          <w:sz w:val="24"/>
          <w:szCs w:val="24"/>
        </w:rPr>
        <w:t>a</w:t>
      </w:r>
      <w:r w:rsidR="00FA0687" w:rsidRPr="002E410F">
        <w:rPr>
          <w:rFonts w:ascii="Arial" w:hAnsi="Arial"/>
          <w:sz w:val="24"/>
          <w:szCs w:val="24"/>
        </w:rPr>
        <w:t xml:space="preserve">ck </w:t>
      </w:r>
      <w:r w:rsidR="00384666" w:rsidRPr="002E410F">
        <w:rPr>
          <w:rFonts w:ascii="Arial" w:hAnsi="Arial"/>
          <w:sz w:val="24"/>
          <w:szCs w:val="24"/>
        </w:rPr>
        <w:t>into high density ur</w:t>
      </w:r>
      <w:r w:rsidR="00D91332" w:rsidRPr="002E410F">
        <w:rPr>
          <w:rFonts w:ascii="Arial" w:hAnsi="Arial"/>
          <w:sz w:val="24"/>
          <w:szCs w:val="24"/>
        </w:rPr>
        <w:t>b</w:t>
      </w:r>
      <w:r w:rsidR="00384666" w:rsidRPr="002E410F">
        <w:rPr>
          <w:rFonts w:ascii="Arial" w:hAnsi="Arial"/>
          <w:sz w:val="24"/>
          <w:szCs w:val="24"/>
        </w:rPr>
        <w:t>an centres</w:t>
      </w:r>
      <w:r w:rsidR="00584DF7" w:rsidRPr="002E410F">
        <w:rPr>
          <w:rFonts w:ascii="Arial" w:hAnsi="Arial"/>
          <w:sz w:val="24"/>
          <w:szCs w:val="24"/>
        </w:rPr>
        <w:t>,</w:t>
      </w:r>
      <w:r w:rsidR="0006136E" w:rsidRPr="002E410F">
        <w:rPr>
          <w:rFonts w:ascii="Arial" w:hAnsi="Arial"/>
          <w:sz w:val="24"/>
          <w:szCs w:val="24"/>
        </w:rPr>
        <w:t xml:space="preserve"> </w:t>
      </w:r>
      <w:r w:rsidR="00384666" w:rsidRPr="002E410F">
        <w:rPr>
          <w:rFonts w:ascii="Arial" w:hAnsi="Arial"/>
          <w:sz w:val="24"/>
          <w:szCs w:val="24"/>
        </w:rPr>
        <w:t xml:space="preserve">large cities </w:t>
      </w:r>
      <w:r w:rsidR="00584DF7" w:rsidRPr="002E410F">
        <w:rPr>
          <w:rFonts w:ascii="Arial" w:hAnsi="Arial"/>
          <w:sz w:val="24"/>
          <w:szCs w:val="24"/>
        </w:rPr>
        <w:lastRenderedPageBreak/>
        <w:t>especially.</w:t>
      </w:r>
      <w:r w:rsidR="00FB1B33" w:rsidRPr="002E410F">
        <w:rPr>
          <w:rFonts w:ascii="Arial" w:hAnsi="Arial"/>
          <w:sz w:val="24"/>
          <w:szCs w:val="24"/>
        </w:rPr>
        <w:t xml:space="preserve"> The population of London, for example, </w:t>
      </w:r>
      <w:r w:rsidR="00557171" w:rsidRPr="002E410F">
        <w:rPr>
          <w:rFonts w:ascii="Arial" w:hAnsi="Arial"/>
          <w:sz w:val="24"/>
          <w:szCs w:val="24"/>
        </w:rPr>
        <w:t>after falling continuously from 1939 to the mid-eighties</w:t>
      </w:r>
      <w:r w:rsidR="00740BF5" w:rsidRPr="002E410F">
        <w:rPr>
          <w:rFonts w:ascii="Arial" w:hAnsi="Arial"/>
          <w:sz w:val="24"/>
          <w:szCs w:val="24"/>
        </w:rPr>
        <w:t xml:space="preserve">, rose, and continues to rise. </w:t>
      </w:r>
    </w:p>
    <w:p w14:paraId="78FED2D5" w14:textId="77777777" w:rsidR="009750B2" w:rsidRPr="002E410F" w:rsidRDefault="00415148" w:rsidP="143A5A29">
      <w:pPr>
        <w:spacing w:after="390" w:line="240" w:lineRule="auto"/>
        <w:rPr>
          <w:rFonts w:ascii="Arial" w:hAnsi="Arial"/>
          <w:sz w:val="24"/>
          <w:szCs w:val="24"/>
        </w:rPr>
      </w:pPr>
      <w:r w:rsidRPr="002E410F">
        <w:rPr>
          <w:rFonts w:ascii="Arial" w:hAnsi="Arial"/>
          <w:sz w:val="24"/>
          <w:szCs w:val="24"/>
        </w:rPr>
        <w:t>A</w:t>
      </w:r>
      <w:r w:rsidR="00C8397D" w:rsidRPr="002E410F">
        <w:rPr>
          <w:rFonts w:ascii="Arial" w:hAnsi="Arial"/>
          <w:sz w:val="24"/>
          <w:szCs w:val="24"/>
        </w:rPr>
        <w:t>g</w:t>
      </w:r>
      <w:r w:rsidR="00CA3A42" w:rsidRPr="002E410F">
        <w:rPr>
          <w:rFonts w:ascii="Arial" w:hAnsi="Arial"/>
          <w:sz w:val="24"/>
          <w:szCs w:val="24"/>
        </w:rPr>
        <w:t>glomerat</w:t>
      </w:r>
      <w:r w:rsidR="008317F3" w:rsidRPr="002E410F">
        <w:rPr>
          <w:rFonts w:ascii="Arial" w:hAnsi="Arial"/>
          <w:sz w:val="24"/>
          <w:szCs w:val="24"/>
        </w:rPr>
        <w:t>ion of</w:t>
      </w:r>
      <w:r w:rsidR="00CA3A42" w:rsidRPr="002E410F">
        <w:rPr>
          <w:rFonts w:ascii="Arial" w:hAnsi="Arial"/>
          <w:sz w:val="24"/>
          <w:szCs w:val="24"/>
        </w:rPr>
        <w:t xml:space="preserve"> </w:t>
      </w:r>
      <w:r w:rsidR="00AC3A9E" w:rsidRPr="002E410F">
        <w:rPr>
          <w:rFonts w:ascii="Arial" w:hAnsi="Arial"/>
          <w:sz w:val="24"/>
          <w:szCs w:val="24"/>
        </w:rPr>
        <w:t xml:space="preserve">specialized economic </w:t>
      </w:r>
      <w:r w:rsidR="00E30BB5" w:rsidRPr="002E410F">
        <w:rPr>
          <w:rFonts w:ascii="Arial" w:hAnsi="Arial"/>
          <w:sz w:val="24"/>
          <w:szCs w:val="24"/>
        </w:rPr>
        <w:t>activities</w:t>
      </w:r>
      <w:r w:rsidR="00FA205B" w:rsidRPr="002E410F">
        <w:rPr>
          <w:rFonts w:ascii="Arial" w:hAnsi="Arial"/>
          <w:sz w:val="24"/>
          <w:szCs w:val="24"/>
        </w:rPr>
        <w:t xml:space="preserve"> </w:t>
      </w:r>
      <w:r w:rsidR="005E30BF" w:rsidRPr="002E410F">
        <w:rPr>
          <w:rFonts w:ascii="Arial" w:hAnsi="Arial"/>
          <w:sz w:val="24"/>
          <w:szCs w:val="24"/>
        </w:rPr>
        <w:t>produce</w:t>
      </w:r>
      <w:r w:rsidR="007237CC" w:rsidRPr="002E410F">
        <w:rPr>
          <w:rFonts w:ascii="Arial" w:hAnsi="Arial"/>
          <w:sz w:val="24"/>
          <w:szCs w:val="24"/>
        </w:rPr>
        <w:t>s</w:t>
      </w:r>
      <w:r w:rsidR="00C8397D" w:rsidRPr="002E410F">
        <w:rPr>
          <w:rFonts w:ascii="Arial" w:hAnsi="Arial"/>
          <w:sz w:val="24"/>
          <w:szCs w:val="24"/>
        </w:rPr>
        <w:t xml:space="preserve"> </w:t>
      </w:r>
      <w:r w:rsidR="00AC3A9E" w:rsidRPr="002E410F">
        <w:rPr>
          <w:rFonts w:ascii="Arial" w:hAnsi="Arial"/>
          <w:sz w:val="24"/>
          <w:szCs w:val="24"/>
        </w:rPr>
        <w:t xml:space="preserve">second-order </w:t>
      </w:r>
      <w:r w:rsidR="00B92582" w:rsidRPr="002E410F">
        <w:rPr>
          <w:rFonts w:ascii="Arial" w:hAnsi="Arial"/>
          <w:sz w:val="24"/>
          <w:szCs w:val="24"/>
        </w:rPr>
        <w:t>productivity gains</w:t>
      </w:r>
      <w:r w:rsidR="00E35CA1" w:rsidRPr="002E410F">
        <w:rPr>
          <w:rFonts w:ascii="Arial" w:hAnsi="Arial"/>
          <w:sz w:val="24"/>
          <w:szCs w:val="24"/>
        </w:rPr>
        <w:t>. These derive form</w:t>
      </w:r>
      <w:r w:rsidR="00AC3A9E" w:rsidRPr="002E410F">
        <w:rPr>
          <w:rFonts w:ascii="Arial" w:hAnsi="Arial"/>
          <w:sz w:val="24"/>
          <w:szCs w:val="24"/>
        </w:rPr>
        <w:t xml:space="preserve"> </w:t>
      </w:r>
      <w:r w:rsidR="00DB2D6E" w:rsidRPr="002E410F">
        <w:rPr>
          <w:rFonts w:ascii="Arial" w:hAnsi="Arial"/>
          <w:sz w:val="24"/>
          <w:szCs w:val="24"/>
        </w:rPr>
        <w:t xml:space="preserve">improved </w:t>
      </w:r>
      <w:r w:rsidR="007F6C69" w:rsidRPr="002E410F">
        <w:rPr>
          <w:rFonts w:ascii="Arial" w:hAnsi="Arial"/>
          <w:sz w:val="24"/>
          <w:szCs w:val="24"/>
        </w:rPr>
        <w:t xml:space="preserve">matches of </w:t>
      </w:r>
      <w:r w:rsidR="006C6409" w:rsidRPr="002E410F">
        <w:rPr>
          <w:rFonts w:ascii="Arial" w:hAnsi="Arial"/>
          <w:sz w:val="24"/>
          <w:szCs w:val="24"/>
        </w:rPr>
        <w:t>job</w:t>
      </w:r>
      <w:r w:rsidR="007F6C69" w:rsidRPr="002E410F">
        <w:rPr>
          <w:rFonts w:ascii="Arial" w:hAnsi="Arial"/>
          <w:sz w:val="24"/>
          <w:szCs w:val="24"/>
        </w:rPr>
        <w:t xml:space="preserve">s </w:t>
      </w:r>
      <w:r w:rsidR="006C6409" w:rsidRPr="002E410F">
        <w:rPr>
          <w:rFonts w:ascii="Arial" w:hAnsi="Arial"/>
          <w:sz w:val="24"/>
          <w:szCs w:val="24"/>
        </w:rPr>
        <w:t>and people</w:t>
      </w:r>
      <w:r w:rsidR="005D39D1" w:rsidRPr="002E410F">
        <w:rPr>
          <w:rFonts w:ascii="Arial" w:hAnsi="Arial"/>
          <w:sz w:val="24"/>
          <w:szCs w:val="24"/>
        </w:rPr>
        <w:t>,</w:t>
      </w:r>
      <w:r w:rsidR="006D4D06" w:rsidRPr="002E410F">
        <w:rPr>
          <w:rFonts w:ascii="Arial" w:hAnsi="Arial"/>
          <w:sz w:val="24"/>
          <w:szCs w:val="24"/>
        </w:rPr>
        <w:t xml:space="preserve"> </w:t>
      </w:r>
      <w:r w:rsidR="00E35CA1" w:rsidRPr="002E410F">
        <w:rPr>
          <w:rFonts w:ascii="Arial" w:hAnsi="Arial"/>
          <w:sz w:val="24"/>
          <w:szCs w:val="24"/>
        </w:rPr>
        <w:t xml:space="preserve">the </w:t>
      </w:r>
      <w:r w:rsidR="00611695" w:rsidRPr="002E410F">
        <w:rPr>
          <w:rFonts w:ascii="Arial" w:hAnsi="Arial"/>
          <w:sz w:val="24"/>
          <w:szCs w:val="24"/>
        </w:rPr>
        <w:t xml:space="preserve">sharing of </w:t>
      </w:r>
      <w:r w:rsidR="006C6409" w:rsidRPr="002E410F">
        <w:rPr>
          <w:rFonts w:ascii="Arial" w:hAnsi="Arial"/>
          <w:sz w:val="24"/>
          <w:szCs w:val="24"/>
        </w:rPr>
        <w:t>information</w:t>
      </w:r>
      <w:r w:rsidR="000527A7" w:rsidRPr="002E410F">
        <w:rPr>
          <w:rFonts w:ascii="Arial" w:hAnsi="Arial"/>
          <w:sz w:val="24"/>
          <w:szCs w:val="24"/>
        </w:rPr>
        <w:t>, knowl</w:t>
      </w:r>
      <w:r w:rsidR="00D70546" w:rsidRPr="002E410F">
        <w:rPr>
          <w:rFonts w:ascii="Arial" w:hAnsi="Arial"/>
          <w:sz w:val="24"/>
          <w:szCs w:val="24"/>
        </w:rPr>
        <w:t>edge</w:t>
      </w:r>
      <w:r w:rsidR="006C6409" w:rsidRPr="002E410F">
        <w:rPr>
          <w:rFonts w:ascii="Arial" w:hAnsi="Arial"/>
          <w:sz w:val="24"/>
          <w:szCs w:val="24"/>
        </w:rPr>
        <w:t xml:space="preserve"> and innov</w:t>
      </w:r>
      <w:r w:rsidR="00DB2D6E" w:rsidRPr="002E410F">
        <w:rPr>
          <w:rFonts w:ascii="Arial" w:hAnsi="Arial"/>
          <w:sz w:val="24"/>
          <w:szCs w:val="24"/>
        </w:rPr>
        <w:t xml:space="preserve">ation, </w:t>
      </w:r>
      <w:r w:rsidR="003F49A2" w:rsidRPr="002E410F">
        <w:rPr>
          <w:rFonts w:ascii="Arial" w:hAnsi="Arial"/>
          <w:sz w:val="24"/>
          <w:szCs w:val="24"/>
        </w:rPr>
        <w:t xml:space="preserve">as well as </w:t>
      </w:r>
      <w:r w:rsidR="00D70546" w:rsidRPr="002E410F">
        <w:rPr>
          <w:rFonts w:ascii="Arial" w:hAnsi="Arial"/>
          <w:sz w:val="24"/>
          <w:szCs w:val="24"/>
        </w:rPr>
        <w:t>facil</w:t>
      </w:r>
      <w:r w:rsidR="000D08DE" w:rsidRPr="002E410F">
        <w:rPr>
          <w:rFonts w:ascii="Arial" w:hAnsi="Arial"/>
          <w:sz w:val="24"/>
          <w:szCs w:val="24"/>
        </w:rPr>
        <w:t xml:space="preserve">itated </w:t>
      </w:r>
      <w:r w:rsidR="00DB2D6E" w:rsidRPr="002E410F">
        <w:rPr>
          <w:rFonts w:ascii="Arial" w:hAnsi="Arial"/>
          <w:sz w:val="24"/>
          <w:szCs w:val="24"/>
        </w:rPr>
        <w:t>market access</w:t>
      </w:r>
      <w:r w:rsidR="00013084" w:rsidRPr="002E410F">
        <w:rPr>
          <w:rFonts w:ascii="Arial" w:hAnsi="Arial"/>
          <w:sz w:val="24"/>
          <w:szCs w:val="24"/>
        </w:rPr>
        <w:t>.</w:t>
      </w:r>
      <w:r w:rsidR="005E30BF" w:rsidRPr="002E410F">
        <w:rPr>
          <w:rFonts w:ascii="Arial" w:hAnsi="Arial"/>
          <w:sz w:val="24"/>
          <w:szCs w:val="24"/>
        </w:rPr>
        <w:t xml:space="preserve"> </w:t>
      </w:r>
    </w:p>
    <w:p w14:paraId="48B6145C" w14:textId="6E681000" w:rsidR="00B12CFE" w:rsidRPr="002E410F" w:rsidRDefault="00B12CFE" w:rsidP="143A5A29">
      <w:pPr>
        <w:spacing w:after="390" w:line="240" w:lineRule="auto"/>
        <w:rPr>
          <w:rFonts w:ascii="Arial" w:hAnsi="Arial"/>
          <w:sz w:val="24"/>
          <w:szCs w:val="24"/>
        </w:rPr>
      </w:pPr>
      <w:r w:rsidRPr="002E410F">
        <w:rPr>
          <w:rFonts w:ascii="Arial" w:hAnsi="Arial"/>
          <w:sz w:val="24"/>
          <w:szCs w:val="24"/>
        </w:rPr>
        <w:t xml:space="preserve">Such agglomeration </w:t>
      </w:r>
      <w:r w:rsidR="00DF0F4B" w:rsidRPr="002E410F">
        <w:rPr>
          <w:rFonts w:ascii="Arial" w:hAnsi="Arial"/>
          <w:sz w:val="24"/>
          <w:szCs w:val="24"/>
        </w:rPr>
        <w:t xml:space="preserve">spill-overs </w:t>
      </w:r>
      <w:r w:rsidR="00623521" w:rsidRPr="002E410F">
        <w:rPr>
          <w:rFonts w:ascii="Arial" w:hAnsi="Arial"/>
          <w:sz w:val="24"/>
          <w:szCs w:val="24"/>
        </w:rPr>
        <w:t xml:space="preserve">– or the external benefits of concentration - </w:t>
      </w:r>
      <w:r w:rsidR="00DF0F4B" w:rsidRPr="002E410F">
        <w:rPr>
          <w:rFonts w:ascii="Arial" w:hAnsi="Arial"/>
          <w:sz w:val="24"/>
          <w:szCs w:val="24"/>
        </w:rPr>
        <w:t xml:space="preserve">are not new: early industries, such as </w:t>
      </w:r>
      <w:r w:rsidR="003C3AEA" w:rsidRPr="002E410F">
        <w:rPr>
          <w:rFonts w:ascii="Arial" w:hAnsi="Arial"/>
          <w:sz w:val="24"/>
          <w:szCs w:val="24"/>
        </w:rPr>
        <w:t xml:space="preserve">nail, </w:t>
      </w:r>
      <w:r w:rsidR="00DF0F4B" w:rsidRPr="002E410F">
        <w:rPr>
          <w:rFonts w:ascii="Arial" w:hAnsi="Arial"/>
          <w:sz w:val="24"/>
          <w:szCs w:val="24"/>
        </w:rPr>
        <w:t>instrument</w:t>
      </w:r>
      <w:r w:rsidR="003C3AEA" w:rsidRPr="002E410F">
        <w:rPr>
          <w:rFonts w:ascii="Arial" w:hAnsi="Arial"/>
          <w:sz w:val="24"/>
          <w:szCs w:val="24"/>
        </w:rPr>
        <w:t xml:space="preserve">, </w:t>
      </w:r>
      <w:r w:rsidR="00822AF2" w:rsidRPr="002E410F">
        <w:rPr>
          <w:rFonts w:ascii="Arial" w:hAnsi="Arial"/>
          <w:sz w:val="24"/>
          <w:szCs w:val="24"/>
        </w:rPr>
        <w:t xml:space="preserve">and cutlery-making benefited from the </w:t>
      </w:r>
      <w:r w:rsidR="001E4DBA" w:rsidRPr="002E410F">
        <w:rPr>
          <w:rFonts w:ascii="Arial" w:hAnsi="Arial"/>
          <w:sz w:val="24"/>
          <w:szCs w:val="24"/>
        </w:rPr>
        <w:t>spati</w:t>
      </w:r>
      <w:r w:rsidR="00E662D6" w:rsidRPr="002E410F">
        <w:rPr>
          <w:rFonts w:ascii="Arial" w:hAnsi="Arial"/>
          <w:sz w:val="24"/>
          <w:szCs w:val="24"/>
        </w:rPr>
        <w:t>a</w:t>
      </w:r>
      <w:r w:rsidR="001E4DBA" w:rsidRPr="002E410F">
        <w:rPr>
          <w:rFonts w:ascii="Arial" w:hAnsi="Arial"/>
          <w:sz w:val="24"/>
          <w:szCs w:val="24"/>
        </w:rPr>
        <w:t xml:space="preserve">l </w:t>
      </w:r>
      <w:r w:rsidR="00822AF2" w:rsidRPr="002E410F">
        <w:rPr>
          <w:rFonts w:ascii="Arial" w:hAnsi="Arial"/>
          <w:sz w:val="24"/>
          <w:szCs w:val="24"/>
        </w:rPr>
        <w:t>concentration of producers in particular locations</w:t>
      </w:r>
      <w:r w:rsidR="008C57E0" w:rsidRPr="002E410F">
        <w:rPr>
          <w:rFonts w:ascii="Arial" w:hAnsi="Arial"/>
          <w:sz w:val="24"/>
          <w:szCs w:val="24"/>
        </w:rPr>
        <w:t xml:space="preserve">, </w:t>
      </w:r>
      <w:r w:rsidR="00103250" w:rsidRPr="002E410F">
        <w:rPr>
          <w:rFonts w:ascii="Arial" w:hAnsi="Arial"/>
          <w:sz w:val="24"/>
          <w:szCs w:val="24"/>
        </w:rPr>
        <w:t>i</w:t>
      </w:r>
      <w:r w:rsidR="008C57E0" w:rsidRPr="002E410F">
        <w:rPr>
          <w:rFonts w:ascii="Arial" w:hAnsi="Arial"/>
          <w:sz w:val="24"/>
          <w:szCs w:val="24"/>
        </w:rPr>
        <w:t xml:space="preserve">n terms of </w:t>
      </w:r>
      <w:r w:rsidR="005D13EB" w:rsidRPr="002E410F">
        <w:rPr>
          <w:rFonts w:ascii="Arial" w:hAnsi="Arial"/>
          <w:sz w:val="24"/>
          <w:szCs w:val="24"/>
        </w:rPr>
        <w:t xml:space="preserve">close access to skilled labour and complementary </w:t>
      </w:r>
      <w:r w:rsidR="00103250" w:rsidRPr="002E410F">
        <w:rPr>
          <w:rFonts w:ascii="Arial" w:hAnsi="Arial"/>
          <w:sz w:val="24"/>
          <w:szCs w:val="24"/>
        </w:rPr>
        <w:t xml:space="preserve">intermediate good </w:t>
      </w:r>
      <w:r w:rsidR="005D13EB" w:rsidRPr="002E410F">
        <w:rPr>
          <w:rFonts w:ascii="Arial" w:hAnsi="Arial"/>
          <w:sz w:val="24"/>
          <w:szCs w:val="24"/>
        </w:rPr>
        <w:t xml:space="preserve">supply chains </w:t>
      </w:r>
      <w:r w:rsidR="00103250" w:rsidRPr="002E410F">
        <w:rPr>
          <w:rFonts w:ascii="Arial" w:hAnsi="Arial"/>
          <w:sz w:val="24"/>
          <w:szCs w:val="24"/>
        </w:rPr>
        <w:t xml:space="preserve">and markets for finished </w:t>
      </w:r>
      <w:r w:rsidR="00623521" w:rsidRPr="002E410F">
        <w:rPr>
          <w:rFonts w:ascii="Arial" w:hAnsi="Arial"/>
          <w:sz w:val="24"/>
          <w:szCs w:val="24"/>
        </w:rPr>
        <w:t xml:space="preserve">goods. </w:t>
      </w:r>
    </w:p>
    <w:p w14:paraId="15E0FF57" w14:textId="628AE67B" w:rsidR="009750B2" w:rsidRPr="002E410F" w:rsidRDefault="0078083D" w:rsidP="143A5A29">
      <w:pPr>
        <w:spacing w:after="390" w:line="240" w:lineRule="auto"/>
        <w:rPr>
          <w:rFonts w:ascii="Arial" w:hAnsi="Arial"/>
          <w:sz w:val="24"/>
          <w:szCs w:val="24"/>
        </w:rPr>
      </w:pPr>
      <w:r w:rsidRPr="002E410F">
        <w:rPr>
          <w:rFonts w:ascii="Arial" w:hAnsi="Arial"/>
          <w:sz w:val="24"/>
          <w:szCs w:val="24"/>
        </w:rPr>
        <w:t xml:space="preserve">As </w:t>
      </w:r>
      <w:r w:rsidR="004B7E70" w:rsidRPr="002E410F">
        <w:rPr>
          <w:rFonts w:ascii="Arial" w:hAnsi="Arial"/>
          <w:sz w:val="24"/>
          <w:szCs w:val="24"/>
        </w:rPr>
        <w:t xml:space="preserve">the secular trend for service sector </w:t>
      </w:r>
      <w:r w:rsidRPr="002E410F">
        <w:rPr>
          <w:rFonts w:ascii="Arial" w:hAnsi="Arial"/>
          <w:sz w:val="24"/>
          <w:szCs w:val="24"/>
        </w:rPr>
        <w:t xml:space="preserve">has </w:t>
      </w:r>
      <w:r w:rsidR="004B7E70" w:rsidRPr="002E410F">
        <w:rPr>
          <w:rFonts w:ascii="Arial" w:hAnsi="Arial"/>
          <w:sz w:val="24"/>
          <w:szCs w:val="24"/>
        </w:rPr>
        <w:t>ever-more-predominant within the wider economy</w:t>
      </w:r>
      <w:r w:rsidR="002D60AE" w:rsidRPr="002E410F">
        <w:rPr>
          <w:rFonts w:ascii="Arial" w:hAnsi="Arial"/>
          <w:sz w:val="24"/>
          <w:szCs w:val="24"/>
        </w:rPr>
        <w:t>, the scale and significance of such agglomeration</w:t>
      </w:r>
      <w:r w:rsidR="003548C0" w:rsidRPr="002E410F">
        <w:rPr>
          <w:rFonts w:ascii="Arial" w:hAnsi="Arial"/>
          <w:sz w:val="24"/>
          <w:szCs w:val="24"/>
        </w:rPr>
        <w:t>-related enhancements to productivity has risen and can be expected to continue to rise.</w:t>
      </w:r>
    </w:p>
    <w:p w14:paraId="62B04452" w14:textId="01213927" w:rsidR="00C74D6F" w:rsidRDefault="00717CD7" w:rsidP="143A5A29">
      <w:pPr>
        <w:spacing w:after="390" w:line="240" w:lineRule="auto"/>
        <w:rPr>
          <w:rFonts w:ascii="Arial" w:hAnsi="Arial"/>
          <w:sz w:val="24"/>
          <w:szCs w:val="24"/>
        </w:rPr>
      </w:pPr>
      <w:r w:rsidRPr="002E410F">
        <w:rPr>
          <w:rFonts w:ascii="Arial" w:hAnsi="Arial"/>
          <w:sz w:val="24"/>
          <w:szCs w:val="24"/>
        </w:rPr>
        <w:t>The</w:t>
      </w:r>
      <w:r w:rsidR="003548C0" w:rsidRPr="002E410F">
        <w:rPr>
          <w:rFonts w:ascii="Arial" w:hAnsi="Arial"/>
          <w:sz w:val="24"/>
          <w:szCs w:val="24"/>
        </w:rPr>
        <w:t>ir</w:t>
      </w:r>
      <w:r w:rsidRPr="002E410F">
        <w:rPr>
          <w:rFonts w:ascii="Arial" w:hAnsi="Arial"/>
          <w:sz w:val="24"/>
          <w:szCs w:val="24"/>
        </w:rPr>
        <w:t xml:space="preserve"> </w:t>
      </w:r>
      <w:r w:rsidR="00E662D6" w:rsidRPr="002E410F">
        <w:rPr>
          <w:rFonts w:ascii="Arial" w:hAnsi="Arial"/>
          <w:sz w:val="24"/>
          <w:szCs w:val="24"/>
        </w:rPr>
        <w:t xml:space="preserve">effective </w:t>
      </w:r>
      <w:r w:rsidRPr="002E410F">
        <w:rPr>
          <w:rFonts w:ascii="Arial" w:hAnsi="Arial"/>
          <w:sz w:val="24"/>
          <w:szCs w:val="24"/>
        </w:rPr>
        <w:t xml:space="preserve">realization </w:t>
      </w:r>
      <w:r w:rsidR="007F2304" w:rsidRPr="002E410F">
        <w:rPr>
          <w:rFonts w:ascii="Arial" w:hAnsi="Arial"/>
          <w:sz w:val="24"/>
          <w:szCs w:val="24"/>
        </w:rPr>
        <w:t>presuppose</w:t>
      </w:r>
      <w:r w:rsidR="006D4D06" w:rsidRPr="002E410F">
        <w:rPr>
          <w:rFonts w:ascii="Arial" w:hAnsi="Arial"/>
          <w:sz w:val="24"/>
          <w:szCs w:val="24"/>
        </w:rPr>
        <w:t>s</w:t>
      </w:r>
      <w:r w:rsidR="007F2304" w:rsidRPr="002E410F">
        <w:rPr>
          <w:rFonts w:ascii="Arial" w:hAnsi="Arial"/>
          <w:sz w:val="24"/>
          <w:szCs w:val="24"/>
        </w:rPr>
        <w:t xml:space="preserve"> bigger and more </w:t>
      </w:r>
      <w:r w:rsidR="007A3221" w:rsidRPr="002E410F">
        <w:rPr>
          <w:rFonts w:ascii="Arial" w:hAnsi="Arial"/>
          <w:sz w:val="24"/>
          <w:szCs w:val="24"/>
        </w:rPr>
        <w:t>people-</w:t>
      </w:r>
      <w:r w:rsidR="007F2304" w:rsidRPr="002E410F">
        <w:rPr>
          <w:rFonts w:ascii="Arial" w:hAnsi="Arial"/>
          <w:sz w:val="24"/>
          <w:szCs w:val="24"/>
        </w:rPr>
        <w:t>dense cities</w:t>
      </w:r>
      <w:r w:rsidR="007A3221" w:rsidRPr="002E410F">
        <w:rPr>
          <w:rFonts w:ascii="Arial" w:hAnsi="Arial"/>
          <w:sz w:val="24"/>
          <w:szCs w:val="24"/>
        </w:rPr>
        <w:t xml:space="preserve">: </w:t>
      </w:r>
      <w:r w:rsidR="007F2304" w:rsidRPr="002E410F">
        <w:rPr>
          <w:rFonts w:ascii="Arial" w:hAnsi="Arial"/>
          <w:sz w:val="24"/>
          <w:szCs w:val="24"/>
        </w:rPr>
        <w:t xml:space="preserve"> a trend outcome</w:t>
      </w:r>
      <w:r w:rsidR="00F6405F" w:rsidRPr="002E410F">
        <w:rPr>
          <w:rFonts w:ascii="Arial" w:hAnsi="Arial"/>
          <w:sz w:val="24"/>
          <w:szCs w:val="24"/>
        </w:rPr>
        <w:t xml:space="preserve"> </w:t>
      </w:r>
      <w:r w:rsidR="007F2304" w:rsidRPr="002E410F">
        <w:rPr>
          <w:rFonts w:ascii="Arial" w:hAnsi="Arial"/>
          <w:sz w:val="24"/>
          <w:szCs w:val="24"/>
        </w:rPr>
        <w:t>th</w:t>
      </w:r>
      <w:r w:rsidR="00F6405F" w:rsidRPr="002E410F">
        <w:rPr>
          <w:rFonts w:ascii="Arial" w:hAnsi="Arial"/>
          <w:sz w:val="24"/>
          <w:szCs w:val="24"/>
        </w:rPr>
        <w:t>a</w:t>
      </w:r>
      <w:r w:rsidR="007F2304" w:rsidRPr="002E410F">
        <w:rPr>
          <w:rFonts w:ascii="Arial" w:hAnsi="Arial"/>
          <w:sz w:val="24"/>
          <w:szCs w:val="24"/>
        </w:rPr>
        <w:t>t,</w:t>
      </w:r>
      <w:r w:rsidR="00482D13" w:rsidRPr="002E410F">
        <w:rPr>
          <w:rFonts w:ascii="Arial" w:hAnsi="Arial"/>
          <w:sz w:val="24"/>
          <w:szCs w:val="24"/>
        </w:rPr>
        <w:t xml:space="preserve"> in turn</w:t>
      </w:r>
      <w:r w:rsidR="00D91332" w:rsidRPr="002E410F">
        <w:rPr>
          <w:rFonts w:ascii="Arial" w:hAnsi="Arial"/>
          <w:sz w:val="24"/>
          <w:szCs w:val="24"/>
        </w:rPr>
        <w:t>, r</w:t>
      </w:r>
      <w:r w:rsidR="00AC4713" w:rsidRPr="002E410F">
        <w:rPr>
          <w:rFonts w:ascii="Arial" w:hAnsi="Arial"/>
          <w:sz w:val="24"/>
          <w:szCs w:val="24"/>
        </w:rPr>
        <w:t>equire</w:t>
      </w:r>
      <w:r w:rsidR="00446DD0" w:rsidRPr="002E410F">
        <w:rPr>
          <w:rFonts w:ascii="Arial" w:hAnsi="Arial"/>
          <w:sz w:val="24"/>
          <w:szCs w:val="24"/>
        </w:rPr>
        <w:t>s</w:t>
      </w:r>
      <w:r w:rsidR="00AC4713" w:rsidRPr="002E410F">
        <w:rPr>
          <w:rFonts w:ascii="Arial" w:hAnsi="Arial"/>
          <w:sz w:val="24"/>
          <w:szCs w:val="24"/>
        </w:rPr>
        <w:t xml:space="preserve"> </w:t>
      </w:r>
      <w:r w:rsidR="00083C6A" w:rsidRPr="002E410F">
        <w:rPr>
          <w:rFonts w:ascii="Arial" w:hAnsi="Arial"/>
          <w:sz w:val="24"/>
          <w:szCs w:val="24"/>
        </w:rPr>
        <w:t>high quality transport, digital, an</w:t>
      </w:r>
      <w:r w:rsidR="00A66B49" w:rsidRPr="002E410F">
        <w:rPr>
          <w:rFonts w:ascii="Arial" w:hAnsi="Arial"/>
          <w:sz w:val="24"/>
          <w:szCs w:val="24"/>
        </w:rPr>
        <w:t xml:space="preserve">d social </w:t>
      </w:r>
      <w:r w:rsidR="00083C6A" w:rsidRPr="002E410F">
        <w:rPr>
          <w:rFonts w:ascii="Arial" w:hAnsi="Arial"/>
          <w:sz w:val="24"/>
          <w:szCs w:val="24"/>
        </w:rPr>
        <w:t>infrastructure</w:t>
      </w:r>
      <w:r w:rsidR="00A66B49" w:rsidRPr="002E410F">
        <w:rPr>
          <w:rFonts w:ascii="Arial" w:hAnsi="Arial"/>
          <w:sz w:val="24"/>
          <w:szCs w:val="24"/>
        </w:rPr>
        <w:t xml:space="preserve"> in housing, education, and</w:t>
      </w:r>
      <w:r w:rsidR="00F6405F" w:rsidRPr="002E410F">
        <w:rPr>
          <w:rFonts w:ascii="Arial" w:hAnsi="Arial"/>
          <w:sz w:val="24"/>
          <w:szCs w:val="24"/>
        </w:rPr>
        <w:t xml:space="preserve">, to a degree, cultural </w:t>
      </w:r>
      <w:r w:rsidR="00CC238F" w:rsidRPr="002E410F">
        <w:rPr>
          <w:rFonts w:ascii="Arial" w:hAnsi="Arial"/>
          <w:sz w:val="24"/>
          <w:szCs w:val="24"/>
        </w:rPr>
        <w:t xml:space="preserve">services, </w:t>
      </w:r>
      <w:r w:rsidR="00E35CA1" w:rsidRPr="002E410F">
        <w:rPr>
          <w:rFonts w:ascii="Arial" w:hAnsi="Arial"/>
          <w:sz w:val="24"/>
          <w:szCs w:val="24"/>
        </w:rPr>
        <w:t xml:space="preserve">to a rising and more </w:t>
      </w:r>
      <w:r w:rsidR="00F029AB" w:rsidRPr="002E410F">
        <w:rPr>
          <w:rFonts w:ascii="Arial" w:hAnsi="Arial"/>
          <w:sz w:val="24"/>
          <w:szCs w:val="24"/>
        </w:rPr>
        <w:t>demanding population</w:t>
      </w:r>
      <w:r w:rsidR="00C34FA5" w:rsidRPr="002E410F">
        <w:rPr>
          <w:rFonts w:ascii="Arial" w:hAnsi="Arial"/>
          <w:sz w:val="24"/>
          <w:szCs w:val="24"/>
        </w:rPr>
        <w:t>.</w:t>
      </w:r>
      <w:r w:rsidR="00B92582" w:rsidRPr="002E410F">
        <w:rPr>
          <w:rFonts w:ascii="Arial" w:hAnsi="Arial"/>
          <w:sz w:val="24"/>
          <w:szCs w:val="24"/>
        </w:rPr>
        <w:t xml:space="preserve"> </w:t>
      </w:r>
    </w:p>
    <w:p w14:paraId="6C5EFE39" w14:textId="0AEA272C" w:rsidR="00490C51" w:rsidRDefault="006C0627">
      <w:pPr>
        <w:rPr>
          <w:rFonts w:ascii="Arial" w:hAnsi="Arial"/>
          <w:sz w:val="24"/>
          <w:szCs w:val="24"/>
        </w:rPr>
      </w:pPr>
      <w:r>
        <w:rPr>
          <w:rFonts w:ascii="Arial" w:hAnsi="Arial"/>
          <w:sz w:val="24"/>
          <w:szCs w:val="24"/>
        </w:rPr>
        <w:t>In the UK context,</w:t>
      </w:r>
      <w:r w:rsidR="00C6400D">
        <w:rPr>
          <w:rFonts w:ascii="Arial" w:hAnsi="Arial"/>
          <w:sz w:val="24"/>
          <w:szCs w:val="24"/>
        </w:rPr>
        <w:t xml:space="preserve"> that means </w:t>
      </w:r>
      <w:r w:rsidR="002F295F">
        <w:rPr>
          <w:rFonts w:ascii="Arial" w:hAnsi="Arial"/>
          <w:sz w:val="24"/>
          <w:szCs w:val="24"/>
        </w:rPr>
        <w:t xml:space="preserve">supporting primarily the densification </w:t>
      </w:r>
      <w:r w:rsidR="003357C6">
        <w:rPr>
          <w:rFonts w:ascii="Arial" w:hAnsi="Arial"/>
          <w:sz w:val="24"/>
          <w:szCs w:val="24"/>
        </w:rPr>
        <w:t>of London, and other high-productivity clusters. That, of course,</w:t>
      </w:r>
      <w:r w:rsidR="005863CD">
        <w:rPr>
          <w:rFonts w:ascii="Arial" w:hAnsi="Arial"/>
          <w:sz w:val="24"/>
          <w:szCs w:val="24"/>
        </w:rPr>
        <w:t xml:space="preserve"> potentially conflicts with</w:t>
      </w:r>
      <w:r w:rsidR="003357C6">
        <w:rPr>
          <w:rFonts w:ascii="Arial" w:hAnsi="Arial"/>
          <w:sz w:val="24"/>
          <w:szCs w:val="24"/>
        </w:rPr>
        <w:t xml:space="preserve"> regional</w:t>
      </w:r>
      <w:r w:rsidR="005863CD">
        <w:rPr>
          <w:rFonts w:ascii="Arial" w:hAnsi="Arial"/>
          <w:sz w:val="24"/>
          <w:szCs w:val="24"/>
        </w:rPr>
        <w:t xml:space="preserve"> spatial and social equity and cohesion </w:t>
      </w:r>
      <w:r w:rsidR="00490C51">
        <w:rPr>
          <w:rFonts w:ascii="Arial" w:hAnsi="Arial"/>
          <w:sz w:val="24"/>
          <w:szCs w:val="24"/>
        </w:rPr>
        <w:t xml:space="preserve">policy </w:t>
      </w:r>
      <w:r w:rsidR="005863CD">
        <w:rPr>
          <w:rFonts w:ascii="Arial" w:hAnsi="Arial"/>
          <w:sz w:val="24"/>
          <w:szCs w:val="24"/>
        </w:rPr>
        <w:t>imperatives</w:t>
      </w:r>
      <w:r w:rsidR="00AB18E9">
        <w:rPr>
          <w:rFonts w:ascii="Arial" w:hAnsi="Arial"/>
          <w:sz w:val="24"/>
          <w:szCs w:val="24"/>
        </w:rPr>
        <w:t>,</w:t>
      </w:r>
      <w:r w:rsidR="005863CD">
        <w:rPr>
          <w:rFonts w:ascii="Arial" w:hAnsi="Arial"/>
          <w:sz w:val="24"/>
          <w:szCs w:val="24"/>
        </w:rPr>
        <w:t xml:space="preserve"> and</w:t>
      </w:r>
      <w:r w:rsidR="00F41449">
        <w:rPr>
          <w:rFonts w:ascii="Arial" w:hAnsi="Arial"/>
          <w:sz w:val="24"/>
          <w:szCs w:val="24"/>
        </w:rPr>
        <w:t>,</w:t>
      </w:r>
      <w:r w:rsidR="005863CD">
        <w:rPr>
          <w:rFonts w:ascii="Arial" w:hAnsi="Arial"/>
          <w:sz w:val="24"/>
          <w:szCs w:val="24"/>
        </w:rPr>
        <w:t xml:space="preserve"> certainly</w:t>
      </w:r>
      <w:r w:rsidR="00F41449">
        <w:rPr>
          <w:rFonts w:ascii="Arial" w:hAnsi="Arial"/>
          <w:sz w:val="24"/>
          <w:szCs w:val="24"/>
        </w:rPr>
        <w:t>,</w:t>
      </w:r>
      <w:r w:rsidR="005863CD">
        <w:rPr>
          <w:rFonts w:ascii="Arial" w:hAnsi="Arial"/>
          <w:sz w:val="24"/>
          <w:szCs w:val="24"/>
        </w:rPr>
        <w:t xml:space="preserve"> is in tension with them.</w:t>
      </w:r>
    </w:p>
    <w:p w14:paraId="6D1EBA5B" w14:textId="21D50FB9" w:rsidR="0051663F" w:rsidRDefault="00490C51">
      <w:pPr>
        <w:rPr>
          <w:rFonts w:ascii="Arial" w:hAnsi="Arial"/>
          <w:sz w:val="24"/>
          <w:szCs w:val="24"/>
        </w:rPr>
      </w:pPr>
      <w:r>
        <w:rPr>
          <w:rFonts w:ascii="Arial" w:hAnsi="Arial"/>
          <w:sz w:val="24"/>
          <w:szCs w:val="24"/>
        </w:rPr>
        <w:t xml:space="preserve">A clear need in the post-Brexit environment </w:t>
      </w:r>
      <w:r w:rsidR="00316AB8">
        <w:rPr>
          <w:rFonts w:ascii="Arial" w:hAnsi="Arial"/>
          <w:sz w:val="24"/>
          <w:szCs w:val="24"/>
        </w:rPr>
        <w:t xml:space="preserve">has emerged to support </w:t>
      </w:r>
      <w:r w:rsidR="00995D92">
        <w:rPr>
          <w:rFonts w:ascii="Arial" w:hAnsi="Arial"/>
          <w:sz w:val="24"/>
          <w:szCs w:val="24"/>
        </w:rPr>
        <w:t>and foster the recovery and rejuvenation of smaller cities and towns</w:t>
      </w:r>
      <w:r w:rsidR="00541BE3">
        <w:rPr>
          <w:rFonts w:ascii="Arial" w:hAnsi="Arial"/>
          <w:sz w:val="24"/>
          <w:szCs w:val="24"/>
        </w:rPr>
        <w:t>. C</w:t>
      </w:r>
      <w:r w:rsidR="00995D92">
        <w:rPr>
          <w:rFonts w:ascii="Arial" w:hAnsi="Arial"/>
          <w:sz w:val="24"/>
          <w:szCs w:val="24"/>
        </w:rPr>
        <w:t>oast</w:t>
      </w:r>
      <w:r w:rsidR="00541BE3">
        <w:rPr>
          <w:rFonts w:ascii="Arial" w:hAnsi="Arial"/>
          <w:sz w:val="24"/>
          <w:szCs w:val="24"/>
        </w:rPr>
        <w:t>al communities</w:t>
      </w:r>
      <w:r w:rsidR="00995D92">
        <w:rPr>
          <w:rFonts w:ascii="Arial" w:hAnsi="Arial"/>
          <w:sz w:val="24"/>
          <w:szCs w:val="24"/>
        </w:rPr>
        <w:t xml:space="preserve"> and</w:t>
      </w:r>
      <w:r w:rsidR="00541BE3">
        <w:rPr>
          <w:rFonts w:ascii="Arial" w:hAnsi="Arial"/>
          <w:sz w:val="24"/>
          <w:szCs w:val="24"/>
        </w:rPr>
        <w:t xml:space="preserve"> those </w:t>
      </w:r>
      <w:r w:rsidR="00A57074">
        <w:rPr>
          <w:rFonts w:ascii="Arial" w:hAnsi="Arial"/>
          <w:sz w:val="24"/>
          <w:szCs w:val="24"/>
        </w:rPr>
        <w:t>located</w:t>
      </w:r>
      <w:r w:rsidR="00995D92">
        <w:rPr>
          <w:rFonts w:ascii="Arial" w:hAnsi="Arial"/>
          <w:sz w:val="24"/>
          <w:szCs w:val="24"/>
        </w:rPr>
        <w:t xml:space="preserve"> north of a line </w:t>
      </w:r>
      <w:r w:rsidR="00B8243D">
        <w:rPr>
          <w:rFonts w:ascii="Arial" w:hAnsi="Arial"/>
          <w:sz w:val="24"/>
          <w:szCs w:val="24"/>
        </w:rPr>
        <w:t>drawn between the Humber and Wash</w:t>
      </w:r>
      <w:r w:rsidR="00AB18E9">
        <w:rPr>
          <w:rFonts w:ascii="Arial" w:hAnsi="Arial"/>
          <w:sz w:val="24"/>
          <w:szCs w:val="24"/>
        </w:rPr>
        <w:t>,</w:t>
      </w:r>
      <w:r w:rsidR="00B8243D">
        <w:rPr>
          <w:rFonts w:ascii="Arial" w:hAnsi="Arial"/>
          <w:sz w:val="24"/>
          <w:szCs w:val="24"/>
        </w:rPr>
        <w:t xml:space="preserve"> and </w:t>
      </w:r>
      <w:r w:rsidR="00A57074">
        <w:rPr>
          <w:rFonts w:ascii="Arial" w:hAnsi="Arial"/>
          <w:sz w:val="24"/>
          <w:szCs w:val="24"/>
        </w:rPr>
        <w:t xml:space="preserve">in </w:t>
      </w:r>
      <w:r w:rsidR="00B8243D">
        <w:rPr>
          <w:rFonts w:ascii="Arial" w:hAnsi="Arial"/>
          <w:sz w:val="24"/>
          <w:szCs w:val="24"/>
        </w:rPr>
        <w:t>Cornwall</w:t>
      </w:r>
      <w:r w:rsidR="00270AF6">
        <w:rPr>
          <w:rFonts w:ascii="Arial" w:hAnsi="Arial"/>
          <w:sz w:val="24"/>
          <w:szCs w:val="24"/>
        </w:rPr>
        <w:t>,</w:t>
      </w:r>
      <w:r w:rsidR="001327E2">
        <w:rPr>
          <w:rFonts w:ascii="Arial" w:hAnsi="Arial"/>
          <w:sz w:val="24"/>
          <w:szCs w:val="24"/>
        </w:rPr>
        <w:t xml:space="preserve"> have tended</w:t>
      </w:r>
      <w:r w:rsidR="004C3A37">
        <w:rPr>
          <w:rFonts w:ascii="Arial" w:hAnsi="Arial"/>
          <w:sz w:val="24"/>
          <w:szCs w:val="24"/>
        </w:rPr>
        <w:t xml:space="preserve"> to decline economically the most - </w:t>
      </w:r>
      <w:r w:rsidR="00270AF6">
        <w:rPr>
          <w:rFonts w:ascii="Arial" w:hAnsi="Arial"/>
          <w:sz w:val="24"/>
          <w:szCs w:val="24"/>
        </w:rPr>
        <w:t>areas also that will particularly suffer from the future loss of EU Structural Funds.</w:t>
      </w:r>
    </w:p>
    <w:p w14:paraId="5C0D55D1" w14:textId="03F445B4" w:rsidR="00EE744C" w:rsidRPr="002E410F" w:rsidRDefault="0051663F">
      <w:pPr>
        <w:rPr>
          <w:rFonts w:ascii="Arial" w:hAnsi="Arial"/>
          <w:sz w:val="24"/>
          <w:szCs w:val="24"/>
        </w:rPr>
      </w:pPr>
      <w:r>
        <w:rPr>
          <w:rFonts w:ascii="Arial" w:hAnsi="Arial"/>
          <w:sz w:val="24"/>
          <w:szCs w:val="24"/>
        </w:rPr>
        <w:t xml:space="preserve">Reconciling both </w:t>
      </w:r>
      <w:r w:rsidR="0054468F">
        <w:rPr>
          <w:rFonts w:ascii="Arial" w:hAnsi="Arial"/>
          <w:sz w:val="24"/>
          <w:szCs w:val="24"/>
        </w:rPr>
        <w:t xml:space="preserve">imperatives </w:t>
      </w:r>
      <w:r>
        <w:rPr>
          <w:rFonts w:ascii="Arial" w:hAnsi="Arial"/>
          <w:sz w:val="24"/>
          <w:szCs w:val="24"/>
        </w:rPr>
        <w:t xml:space="preserve">will prove challenging, to say the least. </w:t>
      </w:r>
      <w:r w:rsidR="007016B4">
        <w:rPr>
          <w:rFonts w:ascii="Arial" w:hAnsi="Arial"/>
          <w:sz w:val="24"/>
          <w:szCs w:val="24"/>
        </w:rPr>
        <w:t>It must, however, be effectively grasped</w:t>
      </w:r>
      <w:r w:rsidR="001245D7">
        <w:rPr>
          <w:rFonts w:ascii="Arial" w:hAnsi="Arial"/>
          <w:sz w:val="24"/>
          <w:szCs w:val="24"/>
        </w:rPr>
        <w:t xml:space="preserve">. That, in turn, </w:t>
      </w:r>
      <w:r w:rsidR="006D13AD">
        <w:rPr>
          <w:rFonts w:ascii="Arial" w:hAnsi="Arial"/>
          <w:sz w:val="24"/>
          <w:szCs w:val="24"/>
        </w:rPr>
        <w:t xml:space="preserve">underscores the need for </w:t>
      </w:r>
      <w:r w:rsidR="00946497">
        <w:rPr>
          <w:rFonts w:ascii="Arial" w:hAnsi="Arial"/>
          <w:sz w:val="24"/>
          <w:szCs w:val="24"/>
        </w:rPr>
        <w:t xml:space="preserve">a </w:t>
      </w:r>
      <w:r w:rsidR="001245D7">
        <w:rPr>
          <w:rFonts w:ascii="Arial" w:hAnsi="Arial"/>
          <w:sz w:val="24"/>
          <w:szCs w:val="24"/>
        </w:rPr>
        <w:t xml:space="preserve">fiscal and institutional environment </w:t>
      </w:r>
      <w:r w:rsidR="00E76104">
        <w:rPr>
          <w:rFonts w:ascii="Arial" w:hAnsi="Arial"/>
          <w:sz w:val="24"/>
          <w:szCs w:val="24"/>
        </w:rPr>
        <w:t>more amenable to the efficient infrastructural inves</w:t>
      </w:r>
      <w:r w:rsidR="006D13AD">
        <w:rPr>
          <w:rFonts w:ascii="Arial" w:hAnsi="Arial"/>
          <w:sz w:val="24"/>
          <w:szCs w:val="24"/>
        </w:rPr>
        <w:t xml:space="preserve">tment in economic and social infrastructure </w:t>
      </w:r>
      <w:r w:rsidR="00946497">
        <w:rPr>
          <w:rFonts w:ascii="Arial" w:hAnsi="Arial"/>
          <w:sz w:val="24"/>
          <w:szCs w:val="24"/>
        </w:rPr>
        <w:t xml:space="preserve">required. </w:t>
      </w:r>
      <w:r w:rsidR="00EE744C" w:rsidRPr="002E410F">
        <w:rPr>
          <w:rFonts w:ascii="Arial" w:hAnsi="Arial"/>
          <w:sz w:val="24"/>
          <w:szCs w:val="24"/>
        </w:rPr>
        <w:br w:type="page"/>
      </w:r>
    </w:p>
    <w:p w14:paraId="53E17AD6" w14:textId="0A8DB1AF" w:rsidR="0091306F" w:rsidRDefault="00B802B8" w:rsidP="08DD1E8B">
      <w:pPr>
        <w:spacing w:after="390" w:line="240" w:lineRule="auto"/>
        <w:rPr>
          <w:rFonts w:ascii="Arial" w:eastAsia="Times New Roman" w:hAnsi="Arial" w:cs="Times New Roman"/>
          <w:b/>
          <w:color w:val="666666"/>
          <w:sz w:val="24"/>
          <w:szCs w:val="24"/>
        </w:rPr>
      </w:pPr>
      <w:r>
        <w:rPr>
          <w:rFonts w:ascii="Arial" w:eastAsia="Times New Roman" w:hAnsi="Arial" w:cs="Times New Roman"/>
          <w:b/>
          <w:color w:val="666666"/>
          <w:sz w:val="24"/>
          <w:szCs w:val="24"/>
        </w:rPr>
        <w:lastRenderedPageBreak/>
        <w:t>2</w:t>
      </w:r>
      <w:r w:rsidR="003170D9" w:rsidRPr="003170D9">
        <w:rPr>
          <w:rFonts w:ascii="Arial" w:eastAsia="Times New Roman" w:hAnsi="Arial" w:cs="Times New Roman"/>
          <w:b/>
          <w:color w:val="666666"/>
          <w:sz w:val="24"/>
          <w:szCs w:val="24"/>
        </w:rPr>
        <w:t>.</w:t>
      </w:r>
      <w:r w:rsidR="003170D9" w:rsidRPr="003170D9">
        <w:rPr>
          <w:rFonts w:ascii="Arial" w:eastAsia="Times New Roman" w:hAnsi="Arial" w:cs="Times New Roman"/>
          <w:b/>
          <w:color w:val="666666"/>
          <w:sz w:val="24"/>
          <w:szCs w:val="24"/>
        </w:rPr>
        <w:tab/>
      </w:r>
      <w:r w:rsidR="00946497">
        <w:rPr>
          <w:rFonts w:ascii="Arial" w:eastAsia="Times New Roman" w:hAnsi="Arial" w:cs="Times New Roman"/>
          <w:b/>
          <w:color w:val="666666"/>
          <w:sz w:val="24"/>
          <w:szCs w:val="24"/>
        </w:rPr>
        <w:t xml:space="preserve">Fiscal reform and infrastructural investment </w:t>
      </w:r>
    </w:p>
    <w:p w14:paraId="237643C6" w14:textId="78FCAC60" w:rsidR="004354E7" w:rsidRPr="002E410F" w:rsidRDefault="009D7121" w:rsidP="004354E7">
      <w:pPr>
        <w:spacing w:after="390" w:line="240" w:lineRule="auto"/>
        <w:rPr>
          <w:rFonts w:ascii="Arial" w:hAnsi="Arial"/>
          <w:sz w:val="24"/>
          <w:szCs w:val="24"/>
        </w:rPr>
      </w:pPr>
      <w:r>
        <w:rPr>
          <w:rFonts w:ascii="Arial" w:hAnsi="Arial"/>
          <w:sz w:val="24"/>
          <w:szCs w:val="24"/>
        </w:rPr>
        <w:t>I</w:t>
      </w:r>
      <w:r w:rsidR="004354E7" w:rsidRPr="002E410F">
        <w:rPr>
          <w:rFonts w:ascii="Arial" w:hAnsi="Arial"/>
          <w:sz w:val="24"/>
          <w:szCs w:val="24"/>
        </w:rPr>
        <w:t>nfrastructural investment that maximises total economic welfare reflecting revenues and external benefits relative to costs incurred, appropriately time-discounted, should be promoted and funded-publicly – either in full or part - where its private funding is not possible or feasible.</w:t>
      </w:r>
    </w:p>
    <w:p w14:paraId="0B12D2CF" w14:textId="77777777" w:rsidR="004354E7" w:rsidRPr="002E410F" w:rsidRDefault="004354E7" w:rsidP="002E410F">
      <w:pPr>
        <w:spacing w:after="390" w:line="240" w:lineRule="auto"/>
        <w:rPr>
          <w:rFonts w:ascii="Arial" w:hAnsi="Arial"/>
          <w:sz w:val="24"/>
          <w:szCs w:val="24"/>
        </w:rPr>
      </w:pPr>
      <w:r w:rsidRPr="002E410F">
        <w:rPr>
          <w:rFonts w:ascii="Arial" w:hAnsi="Arial"/>
          <w:sz w:val="24"/>
          <w:szCs w:val="24"/>
        </w:rPr>
        <w:t>This suggests that productive public infrastructure should be defined or measured according to its economic characteristics. But it has not – mainly because such characteristics are inherently difficult to isolate and measure.</w:t>
      </w:r>
    </w:p>
    <w:p w14:paraId="123BD0FA" w14:textId="6B6EF7B0" w:rsidR="002942AA" w:rsidRPr="002E410F" w:rsidRDefault="08DD1E8B" w:rsidP="08DD1E8B">
      <w:pPr>
        <w:spacing w:after="390" w:line="240" w:lineRule="auto"/>
        <w:rPr>
          <w:rFonts w:ascii="Arial" w:hAnsi="Arial"/>
          <w:sz w:val="24"/>
          <w:szCs w:val="24"/>
        </w:rPr>
      </w:pPr>
      <w:r w:rsidRPr="002E410F">
        <w:rPr>
          <w:rFonts w:ascii="Arial" w:hAnsi="Arial"/>
          <w:sz w:val="24"/>
          <w:szCs w:val="24"/>
        </w:rPr>
        <w:t xml:space="preserve">Statistics are maintained, rather, according to whether an asset has a life of longer than one year and its funding source – as is the case with the UK Public Finance Dataset – or, more recently, according to functional classification, as developed by the Office of National Statistics (ONS). </w:t>
      </w:r>
    </w:p>
    <w:p w14:paraId="6F97AE21" w14:textId="184D8E95" w:rsidR="00B07DFA" w:rsidRPr="002E410F" w:rsidRDefault="003B1EB3" w:rsidP="08DD1E8B">
      <w:pPr>
        <w:spacing w:after="390" w:line="240" w:lineRule="auto"/>
        <w:rPr>
          <w:rFonts w:ascii="Arial" w:hAnsi="Arial"/>
          <w:sz w:val="24"/>
          <w:szCs w:val="24"/>
        </w:rPr>
      </w:pPr>
      <w:r w:rsidRPr="002E410F">
        <w:rPr>
          <w:rFonts w:ascii="Arial" w:hAnsi="Arial"/>
          <w:sz w:val="24"/>
          <w:szCs w:val="24"/>
        </w:rPr>
        <w:t xml:space="preserve">This </w:t>
      </w:r>
      <w:r w:rsidR="001A54FB" w:rsidRPr="002E410F">
        <w:rPr>
          <w:rFonts w:ascii="Arial" w:hAnsi="Arial"/>
          <w:sz w:val="24"/>
          <w:szCs w:val="24"/>
        </w:rPr>
        <w:t xml:space="preserve">section </w:t>
      </w:r>
      <w:r w:rsidR="0074741E">
        <w:rPr>
          <w:rFonts w:ascii="Arial" w:hAnsi="Arial"/>
          <w:sz w:val="24"/>
          <w:szCs w:val="24"/>
        </w:rPr>
        <w:t xml:space="preserve">- </w:t>
      </w:r>
      <w:r w:rsidR="001A54FB" w:rsidRPr="002E410F">
        <w:rPr>
          <w:rFonts w:ascii="Arial" w:hAnsi="Arial"/>
          <w:sz w:val="24"/>
          <w:szCs w:val="24"/>
        </w:rPr>
        <w:t>based on</w:t>
      </w:r>
      <w:r w:rsidR="00A42F8D" w:rsidRPr="002E410F">
        <w:rPr>
          <w:rFonts w:ascii="Arial" w:hAnsi="Arial"/>
          <w:sz w:val="24"/>
          <w:szCs w:val="24"/>
        </w:rPr>
        <w:t xml:space="preserve"> the data assembled</w:t>
      </w:r>
      <w:r w:rsidR="0074741E">
        <w:rPr>
          <w:rFonts w:ascii="Arial" w:hAnsi="Arial"/>
          <w:sz w:val="24"/>
          <w:szCs w:val="24"/>
        </w:rPr>
        <w:t xml:space="preserve"> in</w:t>
      </w:r>
      <w:r w:rsidR="001A54FB" w:rsidRPr="002E410F">
        <w:rPr>
          <w:rFonts w:ascii="Arial" w:hAnsi="Arial"/>
          <w:sz w:val="24"/>
          <w:szCs w:val="24"/>
        </w:rPr>
        <w:t xml:space="preserve"> </w:t>
      </w:r>
      <w:hyperlink r:id="rId13" w:history="1">
        <w:r w:rsidR="0022029A" w:rsidRPr="0022029A">
          <w:rPr>
            <w:rStyle w:val="Hyperlink"/>
            <w:rFonts w:ascii="Arial" w:hAnsi="Arial"/>
            <w:sz w:val="24"/>
            <w:szCs w:val="24"/>
          </w:rPr>
          <w:t>Appendix Table 1</w:t>
        </w:r>
      </w:hyperlink>
      <w:r w:rsidR="0022029A">
        <w:rPr>
          <w:rFonts w:ascii="Arial" w:hAnsi="Arial"/>
          <w:sz w:val="24"/>
          <w:szCs w:val="24"/>
        </w:rPr>
        <w:t xml:space="preserve"> </w:t>
      </w:r>
      <w:r w:rsidR="0074741E">
        <w:rPr>
          <w:rFonts w:ascii="Arial" w:hAnsi="Arial"/>
          <w:sz w:val="24"/>
          <w:szCs w:val="24"/>
        </w:rPr>
        <w:t>-</w:t>
      </w:r>
      <w:r w:rsidR="00E54F75">
        <w:rPr>
          <w:rFonts w:ascii="Arial" w:hAnsi="Arial"/>
          <w:sz w:val="24"/>
          <w:szCs w:val="24"/>
        </w:rPr>
        <w:t xml:space="preserve"> </w:t>
      </w:r>
      <w:r w:rsidR="08DD1E8B" w:rsidRPr="002E410F">
        <w:rPr>
          <w:rFonts w:ascii="Arial" w:hAnsi="Arial"/>
          <w:sz w:val="24"/>
          <w:szCs w:val="24"/>
        </w:rPr>
        <w:t xml:space="preserve">uses the measure of public investment (net of disposals and depreciation) that the Public Finance Dataset has reported since 1955-56, as such a proxy. </w:t>
      </w:r>
    </w:p>
    <w:p w14:paraId="7D8D12C7" w14:textId="5882F595" w:rsidR="002942AA" w:rsidRPr="002E410F" w:rsidRDefault="08DD1E8B" w:rsidP="08DD1E8B">
      <w:pPr>
        <w:spacing w:after="390" w:line="240" w:lineRule="auto"/>
        <w:rPr>
          <w:rFonts w:ascii="Arial" w:hAnsi="Arial"/>
          <w:sz w:val="24"/>
          <w:szCs w:val="24"/>
        </w:rPr>
      </w:pPr>
      <w:r w:rsidRPr="002E410F">
        <w:rPr>
          <w:rFonts w:ascii="Arial" w:hAnsi="Arial"/>
          <w:sz w:val="24"/>
          <w:szCs w:val="24"/>
        </w:rPr>
        <w:t xml:space="preserve">Available ONS data is then used to further disaggregate into central, local, general government and public corporation categories, </w:t>
      </w:r>
      <w:r w:rsidR="00195649">
        <w:rPr>
          <w:rFonts w:ascii="Arial" w:hAnsi="Arial"/>
          <w:sz w:val="24"/>
          <w:szCs w:val="24"/>
        </w:rPr>
        <w:t xml:space="preserve">expressed </w:t>
      </w:r>
      <w:r w:rsidRPr="002E410F">
        <w:rPr>
          <w:rFonts w:ascii="Arial" w:hAnsi="Arial"/>
          <w:sz w:val="24"/>
          <w:szCs w:val="24"/>
        </w:rPr>
        <w:t xml:space="preserve">at constant 2017-18 prices, and as a percentage of GDP. </w:t>
      </w:r>
    </w:p>
    <w:p w14:paraId="41E4A7CC" w14:textId="0BA37B12" w:rsidR="00AB4354" w:rsidRPr="002E410F" w:rsidRDefault="005B1BB8" w:rsidP="00AB4354">
      <w:pPr>
        <w:spacing w:after="390" w:line="240" w:lineRule="auto"/>
        <w:rPr>
          <w:rFonts w:ascii="Arial" w:hAnsi="Arial"/>
          <w:sz w:val="24"/>
          <w:szCs w:val="24"/>
        </w:rPr>
      </w:pPr>
      <w:r>
        <w:rPr>
          <w:rFonts w:ascii="Arial" w:hAnsi="Arial"/>
          <w:sz w:val="24"/>
          <w:szCs w:val="24"/>
        </w:rPr>
        <w:t>T</w:t>
      </w:r>
      <w:r w:rsidR="00AB4354" w:rsidRPr="002E410F">
        <w:rPr>
          <w:rFonts w:ascii="Arial" w:hAnsi="Arial"/>
          <w:sz w:val="24"/>
          <w:szCs w:val="24"/>
        </w:rPr>
        <w:t>he level of both net general government and public investment measured in constant 2017-18 prices</w:t>
      </w:r>
      <w:r w:rsidR="00B802B8">
        <w:rPr>
          <w:rFonts w:ascii="Arial" w:hAnsi="Arial"/>
          <w:sz w:val="24"/>
          <w:szCs w:val="24"/>
        </w:rPr>
        <w:t xml:space="preserve"> fell</w:t>
      </w:r>
      <w:r w:rsidR="00AB4354" w:rsidRPr="002E410F">
        <w:rPr>
          <w:rFonts w:ascii="Arial" w:hAnsi="Arial"/>
          <w:sz w:val="24"/>
          <w:szCs w:val="24"/>
        </w:rPr>
        <w:t xml:space="preserve"> sharply by an order of up to a third and a quarter, respectively, in volume terms, and from 3.4% of GDP, since 2008-2010, when it last peaked, to as low as 1.7% in 2013-14</w:t>
      </w:r>
      <w:r w:rsidR="00B87B65">
        <w:rPr>
          <w:rFonts w:ascii="Arial" w:hAnsi="Arial"/>
          <w:sz w:val="24"/>
          <w:szCs w:val="24"/>
        </w:rPr>
        <w:t>.</w:t>
      </w:r>
    </w:p>
    <w:p w14:paraId="6D021D95" w14:textId="3B6A4428" w:rsidR="00E303FB" w:rsidRPr="002E410F" w:rsidRDefault="00FA4498" w:rsidP="08DD1E8B">
      <w:pPr>
        <w:spacing w:after="390" w:line="240" w:lineRule="auto"/>
        <w:rPr>
          <w:rFonts w:ascii="Arial" w:hAnsi="Arial"/>
          <w:sz w:val="24"/>
          <w:szCs w:val="24"/>
        </w:rPr>
      </w:pPr>
      <w:r>
        <w:rPr>
          <w:rFonts w:ascii="Arial" w:hAnsi="Arial"/>
          <w:sz w:val="24"/>
          <w:szCs w:val="24"/>
        </w:rPr>
        <w:t xml:space="preserve">It has recently recovered and is </w:t>
      </w:r>
      <w:r w:rsidR="00916DE5">
        <w:rPr>
          <w:rFonts w:ascii="Arial" w:hAnsi="Arial"/>
          <w:sz w:val="24"/>
          <w:szCs w:val="24"/>
        </w:rPr>
        <w:t xml:space="preserve">forecast </w:t>
      </w:r>
      <w:r>
        <w:rPr>
          <w:rFonts w:ascii="Arial" w:hAnsi="Arial"/>
          <w:sz w:val="24"/>
          <w:szCs w:val="24"/>
        </w:rPr>
        <w:t xml:space="preserve">to reach up to </w:t>
      </w:r>
      <w:r w:rsidR="002D0B8F">
        <w:rPr>
          <w:rFonts w:ascii="Arial" w:hAnsi="Arial"/>
          <w:sz w:val="24"/>
          <w:szCs w:val="24"/>
        </w:rPr>
        <w:t>c</w:t>
      </w:r>
      <w:r w:rsidR="003E5EAA" w:rsidRPr="003E5EAA">
        <w:rPr>
          <w:rFonts w:ascii="Arial" w:hAnsi="Arial"/>
          <w:sz w:val="24"/>
          <w:szCs w:val="24"/>
        </w:rPr>
        <w:t>£</w:t>
      </w:r>
      <w:r w:rsidR="002D0B8F">
        <w:rPr>
          <w:rFonts w:ascii="Arial" w:hAnsi="Arial"/>
          <w:sz w:val="24"/>
          <w:szCs w:val="24"/>
        </w:rPr>
        <w:t>48</w:t>
      </w:r>
      <w:r w:rsidR="00916DE5">
        <w:rPr>
          <w:rFonts w:ascii="Arial" w:hAnsi="Arial"/>
          <w:sz w:val="24"/>
          <w:szCs w:val="24"/>
        </w:rPr>
        <w:t xml:space="preserve">bn (at constant 2017-18 prices) </w:t>
      </w:r>
      <w:r w:rsidR="006816D0">
        <w:rPr>
          <w:rFonts w:ascii="Arial" w:hAnsi="Arial"/>
          <w:sz w:val="24"/>
          <w:szCs w:val="24"/>
        </w:rPr>
        <w:t xml:space="preserve">and </w:t>
      </w:r>
      <w:r>
        <w:rPr>
          <w:rFonts w:ascii="Arial" w:hAnsi="Arial"/>
          <w:sz w:val="24"/>
          <w:szCs w:val="24"/>
        </w:rPr>
        <w:t>2.2% of GDP</w:t>
      </w:r>
      <w:r w:rsidR="007E7CCD">
        <w:rPr>
          <w:rFonts w:ascii="Arial" w:hAnsi="Arial"/>
          <w:sz w:val="24"/>
          <w:szCs w:val="24"/>
        </w:rPr>
        <w:t xml:space="preserve"> </w:t>
      </w:r>
      <w:r w:rsidR="00DC0417">
        <w:rPr>
          <w:rFonts w:ascii="Arial" w:hAnsi="Arial"/>
          <w:sz w:val="24"/>
          <w:szCs w:val="24"/>
        </w:rPr>
        <w:t>by 2021-22</w:t>
      </w:r>
      <w:r w:rsidR="006816D0">
        <w:rPr>
          <w:rFonts w:ascii="Arial" w:hAnsi="Arial"/>
          <w:sz w:val="24"/>
          <w:szCs w:val="24"/>
        </w:rPr>
        <w:t xml:space="preserve">. This, despite claims that </w:t>
      </w:r>
      <w:r w:rsidR="00C8580F">
        <w:rPr>
          <w:rFonts w:ascii="Arial" w:hAnsi="Arial"/>
          <w:sz w:val="24"/>
          <w:szCs w:val="24"/>
        </w:rPr>
        <w:t xml:space="preserve">‘public capital investment </w:t>
      </w:r>
      <w:r w:rsidR="003D4DA9">
        <w:rPr>
          <w:rFonts w:ascii="Arial" w:hAnsi="Arial"/>
          <w:sz w:val="24"/>
          <w:szCs w:val="24"/>
        </w:rPr>
        <w:t xml:space="preserve">is set to reach levels </w:t>
      </w:r>
      <w:r w:rsidR="004A16D7">
        <w:rPr>
          <w:rFonts w:ascii="Arial" w:hAnsi="Arial"/>
          <w:sz w:val="24"/>
          <w:szCs w:val="24"/>
        </w:rPr>
        <w:t xml:space="preserve">not consistently </w:t>
      </w:r>
      <w:r w:rsidR="00D03803">
        <w:rPr>
          <w:rFonts w:ascii="Arial" w:hAnsi="Arial"/>
          <w:sz w:val="24"/>
          <w:szCs w:val="24"/>
        </w:rPr>
        <w:t>sustained for 40 years’</w:t>
      </w:r>
      <w:r w:rsidR="00E6375D">
        <w:rPr>
          <w:rFonts w:ascii="Arial" w:hAnsi="Arial"/>
          <w:sz w:val="24"/>
          <w:szCs w:val="24"/>
        </w:rPr>
        <w:t>,</w:t>
      </w:r>
      <w:r w:rsidR="00D03803">
        <w:rPr>
          <w:rFonts w:ascii="Arial" w:hAnsi="Arial"/>
          <w:sz w:val="24"/>
          <w:szCs w:val="24"/>
        </w:rPr>
        <w:t xml:space="preserve"> is wel</w:t>
      </w:r>
      <w:r w:rsidR="00692113">
        <w:rPr>
          <w:rFonts w:ascii="Arial" w:hAnsi="Arial"/>
          <w:sz w:val="24"/>
          <w:szCs w:val="24"/>
        </w:rPr>
        <w:t xml:space="preserve">l below the levels achieved between </w:t>
      </w:r>
      <w:r w:rsidR="00FC2799">
        <w:rPr>
          <w:rFonts w:ascii="Arial" w:hAnsi="Arial"/>
          <w:sz w:val="24"/>
          <w:szCs w:val="24"/>
        </w:rPr>
        <w:t xml:space="preserve">April 2008 </w:t>
      </w:r>
      <w:r w:rsidR="00D50BFC">
        <w:rPr>
          <w:rFonts w:ascii="Arial" w:hAnsi="Arial"/>
          <w:sz w:val="24"/>
          <w:szCs w:val="24"/>
        </w:rPr>
        <w:t>and March 201</w:t>
      </w:r>
      <w:r w:rsidR="00916DE5">
        <w:rPr>
          <w:rFonts w:ascii="Arial" w:hAnsi="Arial"/>
          <w:sz w:val="24"/>
          <w:szCs w:val="24"/>
        </w:rPr>
        <w:t>0</w:t>
      </w:r>
      <w:r w:rsidR="00D50BFC">
        <w:rPr>
          <w:rFonts w:ascii="Arial" w:hAnsi="Arial"/>
          <w:sz w:val="24"/>
          <w:szCs w:val="24"/>
        </w:rPr>
        <w:t xml:space="preserve">. </w:t>
      </w:r>
    </w:p>
    <w:p w14:paraId="182A6FB9" w14:textId="611DEDC6" w:rsidR="002942AA" w:rsidRPr="002E410F" w:rsidRDefault="00107DAD" w:rsidP="254E651C">
      <w:pPr>
        <w:spacing w:after="390" w:line="240" w:lineRule="auto"/>
        <w:rPr>
          <w:rFonts w:ascii="Arial" w:hAnsi="Arial"/>
          <w:sz w:val="24"/>
          <w:szCs w:val="24"/>
        </w:rPr>
      </w:pPr>
      <w:r>
        <w:rPr>
          <w:rFonts w:ascii="Arial" w:hAnsi="Arial"/>
          <w:sz w:val="24"/>
          <w:szCs w:val="24"/>
        </w:rPr>
        <w:t>As way of historical context, f</w:t>
      </w:r>
      <w:r w:rsidR="254E651C" w:rsidRPr="002E410F">
        <w:rPr>
          <w:rFonts w:ascii="Arial" w:hAnsi="Arial"/>
          <w:sz w:val="24"/>
          <w:szCs w:val="24"/>
        </w:rPr>
        <w:t>rom 1950 to the late seventies, public net investment</w:t>
      </w:r>
      <w:r w:rsidR="00E6375D">
        <w:rPr>
          <w:rFonts w:ascii="Arial" w:hAnsi="Arial"/>
          <w:sz w:val="24"/>
          <w:szCs w:val="24"/>
        </w:rPr>
        <w:t xml:space="preserve"> -</w:t>
      </w:r>
      <w:r w:rsidR="254E651C" w:rsidRPr="002E410F">
        <w:rPr>
          <w:rFonts w:ascii="Arial" w:hAnsi="Arial"/>
          <w:sz w:val="24"/>
          <w:szCs w:val="24"/>
        </w:rPr>
        <w:t xml:space="preserve"> expressed as a ratio of GDP</w:t>
      </w:r>
      <w:r w:rsidR="00E6375D">
        <w:rPr>
          <w:rFonts w:ascii="Arial" w:hAnsi="Arial"/>
          <w:sz w:val="24"/>
          <w:szCs w:val="24"/>
        </w:rPr>
        <w:t xml:space="preserve"> -</w:t>
      </w:r>
      <w:r w:rsidR="254E651C" w:rsidRPr="002E410F">
        <w:rPr>
          <w:rFonts w:ascii="Arial" w:hAnsi="Arial"/>
          <w:sz w:val="24"/>
          <w:szCs w:val="24"/>
        </w:rPr>
        <w:t xml:space="preserve"> never fell below 3.2%; between April 1966 and March 1971 it exceeded 6%, peaking at 7.4% during 1967-68.</w:t>
      </w:r>
    </w:p>
    <w:p w14:paraId="5355DCC0" w14:textId="65F39FF7" w:rsidR="002942AA" w:rsidRPr="002E410F" w:rsidRDefault="6F9A4702" w:rsidP="6F9A4702">
      <w:pPr>
        <w:spacing w:after="390" w:line="240" w:lineRule="auto"/>
        <w:rPr>
          <w:rFonts w:ascii="Arial" w:hAnsi="Arial"/>
          <w:sz w:val="24"/>
          <w:szCs w:val="24"/>
        </w:rPr>
      </w:pPr>
      <w:r w:rsidRPr="002E410F">
        <w:rPr>
          <w:rFonts w:ascii="Arial" w:hAnsi="Arial"/>
          <w:sz w:val="24"/>
          <w:szCs w:val="24"/>
        </w:rPr>
        <w:t>It then collapsed progressively to 0.7per cent of GDP by 1988-89, or barely one per cent of total public expenditure. That low coincided with the boom engineered by then Chancellor, Nigel Lawson, seriously overheat</w:t>
      </w:r>
      <w:r w:rsidR="00D1187E" w:rsidRPr="002E410F">
        <w:rPr>
          <w:rFonts w:ascii="Arial" w:hAnsi="Arial"/>
          <w:sz w:val="24"/>
          <w:szCs w:val="24"/>
        </w:rPr>
        <w:t>ing</w:t>
      </w:r>
      <w:r w:rsidRPr="002E410F">
        <w:rPr>
          <w:rFonts w:ascii="Arial" w:hAnsi="Arial"/>
          <w:sz w:val="24"/>
          <w:szCs w:val="24"/>
        </w:rPr>
        <w:t xml:space="preserve"> the economy</w:t>
      </w:r>
      <w:r w:rsidR="00D1187E" w:rsidRPr="002E410F">
        <w:rPr>
          <w:rFonts w:ascii="Arial" w:hAnsi="Arial"/>
          <w:sz w:val="24"/>
          <w:szCs w:val="24"/>
        </w:rPr>
        <w:t>, leading to subsequent rising inflation</w:t>
      </w:r>
      <w:r w:rsidR="008E6DB7" w:rsidRPr="002E410F">
        <w:rPr>
          <w:rFonts w:ascii="Arial" w:hAnsi="Arial"/>
          <w:sz w:val="24"/>
          <w:szCs w:val="24"/>
        </w:rPr>
        <w:t>.</w:t>
      </w:r>
      <w:r w:rsidRPr="002E410F">
        <w:rPr>
          <w:rFonts w:ascii="Arial" w:hAnsi="Arial"/>
          <w:sz w:val="24"/>
          <w:szCs w:val="24"/>
        </w:rPr>
        <w:t xml:space="preserve"> </w:t>
      </w:r>
      <w:r w:rsidR="00D63B0D" w:rsidRPr="002E410F">
        <w:rPr>
          <w:rFonts w:ascii="Arial" w:hAnsi="Arial"/>
          <w:sz w:val="24"/>
          <w:szCs w:val="24"/>
        </w:rPr>
        <w:t>In effect, public investment was crowded-out by excessive private investment and consumption.</w:t>
      </w:r>
    </w:p>
    <w:p w14:paraId="7B280858" w14:textId="26A6264C" w:rsidR="00402CE6" w:rsidRPr="002E410F" w:rsidRDefault="08DD1E8B" w:rsidP="08DD1E8B">
      <w:pPr>
        <w:spacing w:after="390" w:line="240" w:lineRule="auto"/>
        <w:rPr>
          <w:rFonts w:ascii="Arial" w:hAnsi="Arial"/>
          <w:sz w:val="24"/>
          <w:szCs w:val="24"/>
        </w:rPr>
      </w:pPr>
      <w:r w:rsidRPr="002E410F">
        <w:rPr>
          <w:rFonts w:ascii="Arial" w:hAnsi="Arial"/>
          <w:sz w:val="24"/>
          <w:szCs w:val="24"/>
        </w:rPr>
        <w:lastRenderedPageBreak/>
        <w:t>The creaking and antiquated railway infrastructure of London and south-east, to take the most striking instance, had</w:t>
      </w:r>
      <w:r w:rsidR="00F65EC2" w:rsidRPr="002E410F">
        <w:rPr>
          <w:rFonts w:ascii="Arial" w:hAnsi="Arial"/>
          <w:sz w:val="24"/>
          <w:szCs w:val="24"/>
        </w:rPr>
        <w:t xml:space="preserve"> by then </w:t>
      </w:r>
      <w:r w:rsidRPr="002E410F">
        <w:rPr>
          <w:rFonts w:ascii="Arial" w:hAnsi="Arial"/>
          <w:sz w:val="24"/>
          <w:szCs w:val="24"/>
        </w:rPr>
        <w:t>become patently inadequate to the task</w:t>
      </w:r>
      <w:r w:rsidR="00402CE6" w:rsidRPr="002E410F">
        <w:rPr>
          <w:rFonts w:ascii="Arial" w:hAnsi="Arial"/>
          <w:sz w:val="24"/>
          <w:szCs w:val="24"/>
        </w:rPr>
        <w:t>.</w:t>
      </w:r>
    </w:p>
    <w:p w14:paraId="49BC6024" w14:textId="4C73C16C" w:rsidR="002942AA" w:rsidRPr="002E410F" w:rsidRDefault="00402CE6" w:rsidP="08DD1E8B">
      <w:pPr>
        <w:spacing w:after="390" w:line="240" w:lineRule="auto"/>
        <w:rPr>
          <w:rFonts w:ascii="Arial" w:hAnsi="Arial"/>
          <w:sz w:val="24"/>
          <w:szCs w:val="24"/>
        </w:rPr>
      </w:pPr>
      <w:r w:rsidRPr="002E410F">
        <w:rPr>
          <w:rFonts w:ascii="Arial" w:hAnsi="Arial"/>
          <w:sz w:val="24"/>
          <w:szCs w:val="24"/>
        </w:rPr>
        <w:t>P</w:t>
      </w:r>
      <w:r w:rsidR="08DD1E8B" w:rsidRPr="002E410F">
        <w:rPr>
          <w:rFonts w:ascii="Arial" w:hAnsi="Arial"/>
          <w:sz w:val="24"/>
          <w:szCs w:val="24"/>
        </w:rPr>
        <w:t xml:space="preserve">ublic under-investment in infrastructure was widely recognised as a threat to the capital’s continued economic growth. </w:t>
      </w:r>
    </w:p>
    <w:p w14:paraId="7C7B4D75" w14:textId="531F1167" w:rsidR="00051349" w:rsidRPr="002E410F" w:rsidRDefault="00DF3787" w:rsidP="254E651C">
      <w:pPr>
        <w:spacing w:after="390" w:line="240" w:lineRule="auto"/>
        <w:rPr>
          <w:rFonts w:ascii="Arial" w:hAnsi="Arial"/>
          <w:sz w:val="24"/>
          <w:szCs w:val="24"/>
        </w:rPr>
      </w:pPr>
      <w:r w:rsidRPr="002E410F">
        <w:rPr>
          <w:rFonts w:ascii="Arial" w:hAnsi="Arial"/>
          <w:sz w:val="24"/>
          <w:szCs w:val="24"/>
        </w:rPr>
        <w:t>This proved amenable to the emergence of a</w:t>
      </w:r>
      <w:r w:rsidR="00051349" w:rsidRPr="002E410F">
        <w:rPr>
          <w:rFonts w:ascii="Arial" w:hAnsi="Arial"/>
          <w:sz w:val="24"/>
          <w:szCs w:val="24"/>
        </w:rPr>
        <w:t xml:space="preserve"> nascent</w:t>
      </w:r>
      <w:r w:rsidR="254E651C" w:rsidRPr="002E410F">
        <w:rPr>
          <w:rFonts w:ascii="Arial" w:hAnsi="Arial"/>
          <w:sz w:val="24"/>
          <w:szCs w:val="24"/>
        </w:rPr>
        <w:t xml:space="preserve"> overlapping technical and political consensus that public investment had fallen below an economically optimal or sustainable level and that it needed to increase again.</w:t>
      </w:r>
      <w:r w:rsidR="00943C9A" w:rsidRPr="002E410F">
        <w:rPr>
          <w:rFonts w:ascii="Arial" w:hAnsi="Arial"/>
          <w:sz w:val="24"/>
          <w:szCs w:val="24"/>
        </w:rPr>
        <w:t xml:space="preserve"> </w:t>
      </w:r>
    </w:p>
    <w:p w14:paraId="0B040A76" w14:textId="4DB96BA7" w:rsidR="002942AA" w:rsidRPr="002E410F" w:rsidRDefault="254E651C" w:rsidP="254E651C">
      <w:pPr>
        <w:spacing w:after="390" w:line="240" w:lineRule="auto"/>
        <w:rPr>
          <w:rFonts w:ascii="Arial" w:hAnsi="Arial"/>
          <w:sz w:val="24"/>
          <w:szCs w:val="24"/>
        </w:rPr>
      </w:pPr>
      <w:r w:rsidRPr="002E410F">
        <w:rPr>
          <w:rFonts w:ascii="Arial" w:hAnsi="Arial"/>
          <w:sz w:val="24"/>
          <w:szCs w:val="24"/>
        </w:rPr>
        <w:t>And, indeed, public investment from that record low base did recover in the early nineties</w:t>
      </w:r>
      <w:r w:rsidR="00051349" w:rsidRPr="002E410F">
        <w:rPr>
          <w:rFonts w:ascii="Arial" w:hAnsi="Arial"/>
          <w:sz w:val="24"/>
          <w:szCs w:val="24"/>
        </w:rPr>
        <w:t>,</w:t>
      </w:r>
      <w:r w:rsidRPr="002E410F">
        <w:rPr>
          <w:rFonts w:ascii="Arial" w:hAnsi="Arial"/>
          <w:sz w:val="24"/>
          <w:szCs w:val="24"/>
        </w:rPr>
        <w:t xml:space="preserve"> </w:t>
      </w:r>
      <w:r w:rsidR="003717D3">
        <w:rPr>
          <w:rFonts w:ascii="Arial" w:hAnsi="Arial"/>
          <w:sz w:val="24"/>
          <w:szCs w:val="24"/>
        </w:rPr>
        <w:t xml:space="preserve">albeit only </w:t>
      </w:r>
      <w:r w:rsidRPr="002E410F">
        <w:rPr>
          <w:rFonts w:ascii="Arial" w:hAnsi="Arial"/>
          <w:sz w:val="24"/>
          <w:szCs w:val="24"/>
        </w:rPr>
        <w:t>to 1.9% of GDP.</w:t>
      </w:r>
    </w:p>
    <w:p w14:paraId="336040C9" w14:textId="70F1DD3A" w:rsidR="002942AA" w:rsidRPr="002E410F" w:rsidRDefault="08DD1E8B" w:rsidP="08DD1E8B">
      <w:pPr>
        <w:spacing w:after="390" w:line="240" w:lineRule="auto"/>
        <w:rPr>
          <w:rFonts w:ascii="Arial" w:hAnsi="Arial"/>
          <w:sz w:val="24"/>
          <w:szCs w:val="24"/>
        </w:rPr>
      </w:pPr>
      <w:r w:rsidRPr="002E410F">
        <w:rPr>
          <w:rFonts w:ascii="Arial" w:hAnsi="Arial"/>
          <w:sz w:val="24"/>
          <w:szCs w:val="24"/>
        </w:rPr>
        <w:t xml:space="preserve">But a recession - made much worse by interest rates being raised to historic highs in order to maintain the UK’s membership of the European Exchange Rate Mechanism (ERM) at an overvalued sterling rate - had </w:t>
      </w:r>
      <w:r w:rsidR="003717D3">
        <w:rPr>
          <w:rFonts w:ascii="Arial" w:hAnsi="Arial"/>
          <w:sz w:val="24"/>
          <w:szCs w:val="24"/>
        </w:rPr>
        <w:t xml:space="preserve">then </w:t>
      </w:r>
      <w:r w:rsidRPr="002E410F">
        <w:rPr>
          <w:rFonts w:ascii="Arial" w:hAnsi="Arial"/>
          <w:sz w:val="24"/>
          <w:szCs w:val="24"/>
        </w:rPr>
        <w:t>begun to damage the public finances again.</w:t>
      </w:r>
    </w:p>
    <w:p w14:paraId="1CD8E219" w14:textId="1DFDE8A4" w:rsidR="001355F4" w:rsidRPr="002E410F" w:rsidRDefault="08DD1E8B" w:rsidP="08DD1E8B">
      <w:pPr>
        <w:spacing w:after="390" w:line="240" w:lineRule="auto"/>
        <w:rPr>
          <w:rFonts w:ascii="Arial" w:hAnsi="Arial"/>
          <w:sz w:val="24"/>
          <w:szCs w:val="24"/>
        </w:rPr>
      </w:pPr>
      <w:r w:rsidRPr="002E410F">
        <w:rPr>
          <w:rFonts w:ascii="Arial" w:hAnsi="Arial"/>
          <w:sz w:val="24"/>
          <w:szCs w:val="24"/>
        </w:rPr>
        <w:t>In order to regain a balanced budget or surplus, the Major government found it politically easier to cut future planned investment than existing current programmes</w:t>
      </w:r>
      <w:r w:rsidR="007219E0" w:rsidRPr="002E410F">
        <w:rPr>
          <w:rFonts w:ascii="Arial" w:hAnsi="Arial"/>
          <w:sz w:val="24"/>
          <w:szCs w:val="24"/>
        </w:rPr>
        <w:t xml:space="preserve"> </w:t>
      </w:r>
      <w:r w:rsidR="005F3A03" w:rsidRPr="002E410F">
        <w:rPr>
          <w:rFonts w:ascii="Arial" w:hAnsi="Arial"/>
          <w:sz w:val="24"/>
          <w:szCs w:val="24"/>
        </w:rPr>
        <w:t xml:space="preserve">involving making visible reductions in services and jobs </w:t>
      </w:r>
      <w:r w:rsidR="004C782D" w:rsidRPr="002E410F">
        <w:rPr>
          <w:rFonts w:ascii="Arial" w:hAnsi="Arial"/>
          <w:sz w:val="24"/>
          <w:szCs w:val="24"/>
        </w:rPr>
        <w:t xml:space="preserve">with </w:t>
      </w:r>
      <w:r w:rsidR="006D6F68" w:rsidRPr="002E410F">
        <w:rPr>
          <w:rFonts w:ascii="Arial" w:hAnsi="Arial"/>
          <w:sz w:val="24"/>
          <w:szCs w:val="24"/>
        </w:rPr>
        <w:t>a user constituency</w:t>
      </w:r>
      <w:r w:rsidR="00F02E85" w:rsidRPr="002E410F">
        <w:rPr>
          <w:rFonts w:ascii="Arial" w:hAnsi="Arial"/>
          <w:sz w:val="24"/>
          <w:szCs w:val="24"/>
        </w:rPr>
        <w:t>,</w:t>
      </w:r>
      <w:r w:rsidRPr="002E410F">
        <w:rPr>
          <w:rFonts w:ascii="Arial" w:hAnsi="Arial"/>
          <w:sz w:val="24"/>
          <w:szCs w:val="24"/>
        </w:rPr>
        <w:t xml:space="preserve"> </w:t>
      </w:r>
    </w:p>
    <w:p w14:paraId="704A8B6D" w14:textId="306B3B90" w:rsidR="00133F46" w:rsidRPr="002E410F" w:rsidRDefault="08DD1E8B" w:rsidP="08DD1E8B">
      <w:pPr>
        <w:spacing w:after="390" w:line="240" w:lineRule="auto"/>
        <w:rPr>
          <w:rFonts w:ascii="Arial" w:hAnsi="Arial"/>
          <w:sz w:val="24"/>
          <w:szCs w:val="24"/>
        </w:rPr>
      </w:pPr>
      <w:r w:rsidRPr="002E410F">
        <w:rPr>
          <w:rFonts w:ascii="Arial" w:hAnsi="Arial"/>
          <w:sz w:val="24"/>
          <w:szCs w:val="24"/>
        </w:rPr>
        <w:t>Consequently, investment fell back again to below 1% of GDP during the remainder of the decade.</w:t>
      </w:r>
    </w:p>
    <w:p w14:paraId="1B1FA2BB" w14:textId="046840E3" w:rsidR="004C782D" w:rsidRPr="002E410F" w:rsidRDefault="08DD1E8B" w:rsidP="08DD1E8B">
      <w:pPr>
        <w:spacing w:after="390" w:line="240" w:lineRule="auto"/>
        <w:rPr>
          <w:rFonts w:ascii="Arial" w:hAnsi="Arial"/>
          <w:sz w:val="24"/>
          <w:szCs w:val="24"/>
        </w:rPr>
      </w:pPr>
      <w:r w:rsidRPr="002E410F">
        <w:rPr>
          <w:rFonts w:ascii="Arial" w:hAnsi="Arial"/>
          <w:sz w:val="24"/>
          <w:szCs w:val="24"/>
        </w:rPr>
        <w:t xml:space="preserve">Following the election of New Labour in 1997, the new Chancellor, Gordon Brown, introduced a rules-based fiscal framework. </w:t>
      </w:r>
    </w:p>
    <w:p w14:paraId="768EF5E4" w14:textId="08ACD7B8" w:rsidR="00133F46" w:rsidRPr="002E410F" w:rsidRDefault="004C782D" w:rsidP="08DD1E8B">
      <w:pPr>
        <w:spacing w:after="390" w:line="240" w:lineRule="auto"/>
        <w:rPr>
          <w:rFonts w:ascii="Arial" w:hAnsi="Arial"/>
          <w:sz w:val="24"/>
          <w:szCs w:val="24"/>
        </w:rPr>
      </w:pPr>
      <w:r w:rsidRPr="002E410F">
        <w:rPr>
          <w:rFonts w:ascii="Arial" w:hAnsi="Arial"/>
          <w:sz w:val="24"/>
          <w:szCs w:val="24"/>
        </w:rPr>
        <w:t>First, t</w:t>
      </w:r>
      <w:r w:rsidR="08DD1E8B" w:rsidRPr="002E410F">
        <w:rPr>
          <w:rFonts w:ascii="Arial" w:hAnsi="Arial"/>
          <w:sz w:val="24"/>
          <w:szCs w:val="24"/>
        </w:rPr>
        <w:t xml:space="preserve">he </w:t>
      </w:r>
      <w:r w:rsidRPr="002E410F">
        <w:rPr>
          <w:rFonts w:ascii="Arial" w:hAnsi="Arial"/>
          <w:sz w:val="24"/>
          <w:szCs w:val="24"/>
        </w:rPr>
        <w:t>‘</w:t>
      </w:r>
      <w:r w:rsidR="006954ED">
        <w:rPr>
          <w:rFonts w:ascii="Arial" w:hAnsi="Arial"/>
          <w:sz w:val="24"/>
          <w:szCs w:val="24"/>
        </w:rPr>
        <w:t>G</w:t>
      </w:r>
      <w:r w:rsidR="08DD1E8B" w:rsidRPr="002E410F">
        <w:rPr>
          <w:rFonts w:ascii="Arial" w:hAnsi="Arial"/>
          <w:sz w:val="24"/>
          <w:szCs w:val="24"/>
        </w:rPr>
        <w:t xml:space="preserve">olden </w:t>
      </w:r>
      <w:r w:rsidR="006954ED">
        <w:rPr>
          <w:rFonts w:ascii="Arial" w:hAnsi="Arial"/>
          <w:sz w:val="24"/>
          <w:szCs w:val="24"/>
        </w:rPr>
        <w:t>R</w:t>
      </w:r>
      <w:r w:rsidR="08DD1E8B" w:rsidRPr="002E410F">
        <w:rPr>
          <w:rFonts w:ascii="Arial" w:hAnsi="Arial"/>
          <w:sz w:val="24"/>
          <w:szCs w:val="24"/>
        </w:rPr>
        <w:t>ule</w:t>
      </w:r>
      <w:r w:rsidRPr="002E410F">
        <w:rPr>
          <w:rFonts w:ascii="Arial" w:hAnsi="Arial"/>
          <w:sz w:val="24"/>
          <w:szCs w:val="24"/>
        </w:rPr>
        <w:t>’</w:t>
      </w:r>
      <w:r w:rsidR="08DD1E8B" w:rsidRPr="002E410F">
        <w:rPr>
          <w:rFonts w:ascii="Arial" w:hAnsi="Arial"/>
          <w:sz w:val="24"/>
          <w:szCs w:val="24"/>
        </w:rPr>
        <w:t xml:space="preserve"> permitted borrowing to fund investment over the duration of an economic cycle, but not for current spending.</w:t>
      </w:r>
    </w:p>
    <w:p w14:paraId="54E6825A" w14:textId="04DD2935" w:rsidR="00133F46" w:rsidRPr="002E410F" w:rsidRDefault="004C782D" w:rsidP="08DD1E8B">
      <w:pPr>
        <w:spacing w:after="390" w:line="240" w:lineRule="auto"/>
        <w:rPr>
          <w:rFonts w:ascii="Arial" w:hAnsi="Arial"/>
          <w:sz w:val="24"/>
          <w:szCs w:val="24"/>
        </w:rPr>
      </w:pPr>
      <w:r w:rsidRPr="002E410F">
        <w:rPr>
          <w:rFonts w:ascii="Arial" w:hAnsi="Arial"/>
          <w:sz w:val="24"/>
          <w:szCs w:val="24"/>
        </w:rPr>
        <w:t>S</w:t>
      </w:r>
      <w:r w:rsidR="08DD1E8B" w:rsidRPr="002E410F">
        <w:rPr>
          <w:rFonts w:ascii="Arial" w:hAnsi="Arial"/>
          <w:sz w:val="24"/>
          <w:szCs w:val="24"/>
        </w:rPr>
        <w:t>econd</w:t>
      </w:r>
      <w:r w:rsidRPr="002E410F">
        <w:rPr>
          <w:rFonts w:ascii="Arial" w:hAnsi="Arial"/>
          <w:sz w:val="24"/>
          <w:szCs w:val="24"/>
        </w:rPr>
        <w:t>, a</w:t>
      </w:r>
      <w:r w:rsidR="08DD1E8B" w:rsidRPr="002E410F">
        <w:rPr>
          <w:rFonts w:ascii="Arial" w:hAnsi="Arial"/>
          <w:sz w:val="24"/>
          <w:szCs w:val="24"/>
        </w:rPr>
        <w:t xml:space="preserve"> </w:t>
      </w:r>
      <w:r w:rsidRPr="002E410F">
        <w:rPr>
          <w:rFonts w:ascii="Arial" w:hAnsi="Arial"/>
          <w:sz w:val="24"/>
          <w:szCs w:val="24"/>
        </w:rPr>
        <w:t>‘</w:t>
      </w:r>
      <w:r w:rsidR="006954ED">
        <w:rPr>
          <w:rFonts w:ascii="Arial" w:hAnsi="Arial"/>
          <w:sz w:val="24"/>
          <w:szCs w:val="24"/>
        </w:rPr>
        <w:t>S</w:t>
      </w:r>
      <w:r w:rsidR="08DD1E8B" w:rsidRPr="002E410F">
        <w:rPr>
          <w:rFonts w:ascii="Arial" w:hAnsi="Arial"/>
          <w:sz w:val="24"/>
          <w:szCs w:val="24"/>
        </w:rPr>
        <w:t xml:space="preserve">ustainable </w:t>
      </w:r>
      <w:r w:rsidR="006954ED">
        <w:rPr>
          <w:rFonts w:ascii="Arial" w:hAnsi="Arial"/>
          <w:sz w:val="24"/>
          <w:szCs w:val="24"/>
        </w:rPr>
        <w:t>I</w:t>
      </w:r>
      <w:r w:rsidR="08DD1E8B" w:rsidRPr="002E410F">
        <w:rPr>
          <w:rFonts w:ascii="Arial" w:hAnsi="Arial"/>
          <w:sz w:val="24"/>
          <w:szCs w:val="24"/>
        </w:rPr>
        <w:t xml:space="preserve">nvestment </w:t>
      </w:r>
      <w:r w:rsidR="006954ED">
        <w:rPr>
          <w:rFonts w:ascii="Arial" w:hAnsi="Arial"/>
          <w:sz w:val="24"/>
          <w:szCs w:val="24"/>
        </w:rPr>
        <w:t>R</w:t>
      </w:r>
      <w:r w:rsidR="08DD1E8B" w:rsidRPr="002E410F">
        <w:rPr>
          <w:rFonts w:ascii="Arial" w:hAnsi="Arial"/>
          <w:sz w:val="24"/>
          <w:szCs w:val="24"/>
        </w:rPr>
        <w:t>ule</w:t>
      </w:r>
      <w:r w:rsidRPr="002E410F">
        <w:rPr>
          <w:rFonts w:ascii="Arial" w:hAnsi="Arial"/>
          <w:sz w:val="24"/>
          <w:szCs w:val="24"/>
        </w:rPr>
        <w:t>’</w:t>
      </w:r>
      <w:r w:rsidR="08DD1E8B" w:rsidRPr="002E410F">
        <w:rPr>
          <w:rFonts w:ascii="Arial" w:hAnsi="Arial"/>
          <w:sz w:val="24"/>
          <w:szCs w:val="24"/>
        </w:rPr>
        <w:t xml:space="preserve"> required public debt to be kept at a stable and prudent level, which was taken to mean that net public debt, as a proportion of GDP should be reduced below 40%.</w:t>
      </w:r>
    </w:p>
    <w:p w14:paraId="1C99B9E7" w14:textId="799810C5" w:rsidR="00133F46" w:rsidRPr="002E410F" w:rsidRDefault="004C782D" w:rsidP="60D33CC6">
      <w:pPr>
        <w:spacing w:after="390" w:line="240" w:lineRule="auto"/>
        <w:rPr>
          <w:rFonts w:ascii="Arial" w:hAnsi="Arial"/>
          <w:sz w:val="24"/>
          <w:szCs w:val="24"/>
        </w:rPr>
      </w:pPr>
      <w:r w:rsidRPr="002E410F">
        <w:rPr>
          <w:rFonts w:ascii="Arial" w:hAnsi="Arial"/>
          <w:sz w:val="24"/>
          <w:szCs w:val="24"/>
        </w:rPr>
        <w:t xml:space="preserve">One </w:t>
      </w:r>
      <w:r w:rsidR="60D33CC6" w:rsidRPr="002E410F">
        <w:rPr>
          <w:rFonts w:ascii="Arial" w:hAnsi="Arial"/>
          <w:sz w:val="24"/>
          <w:szCs w:val="24"/>
        </w:rPr>
        <w:t>purpose</w:t>
      </w:r>
      <w:r w:rsidRPr="002E410F">
        <w:rPr>
          <w:rFonts w:ascii="Arial" w:hAnsi="Arial"/>
          <w:sz w:val="24"/>
          <w:szCs w:val="24"/>
        </w:rPr>
        <w:t xml:space="preserve"> of </w:t>
      </w:r>
      <w:r w:rsidR="00FE3176">
        <w:rPr>
          <w:rFonts w:ascii="Arial" w:hAnsi="Arial"/>
          <w:sz w:val="24"/>
          <w:szCs w:val="24"/>
        </w:rPr>
        <w:t xml:space="preserve">the second </w:t>
      </w:r>
      <w:r w:rsidRPr="002E410F">
        <w:rPr>
          <w:rFonts w:ascii="Arial" w:hAnsi="Arial"/>
          <w:sz w:val="24"/>
          <w:szCs w:val="24"/>
        </w:rPr>
        <w:t>rule</w:t>
      </w:r>
      <w:r w:rsidR="60D33CC6" w:rsidRPr="002E410F">
        <w:rPr>
          <w:rFonts w:ascii="Arial" w:hAnsi="Arial"/>
          <w:sz w:val="24"/>
          <w:szCs w:val="24"/>
        </w:rPr>
        <w:t xml:space="preserve"> was to safeguard against uncontrolled levels of public investment pushing up the debt burden to the point that it failed to provide the government with sufficient reserve elbow room to counteract</w:t>
      </w:r>
      <w:r w:rsidRPr="002E410F">
        <w:rPr>
          <w:rFonts w:ascii="Arial" w:hAnsi="Arial"/>
          <w:sz w:val="24"/>
          <w:szCs w:val="24"/>
        </w:rPr>
        <w:t xml:space="preserve"> a</w:t>
      </w:r>
      <w:r w:rsidR="60D33CC6" w:rsidRPr="002E410F">
        <w:rPr>
          <w:rFonts w:ascii="Arial" w:hAnsi="Arial"/>
          <w:sz w:val="24"/>
          <w:szCs w:val="24"/>
        </w:rPr>
        <w:t xml:space="preserve"> future economic shock by a fiscal expansion. </w:t>
      </w:r>
    </w:p>
    <w:p w14:paraId="2A23A2F8" w14:textId="35D43E9E" w:rsidR="00133F46" w:rsidRPr="002E410F" w:rsidRDefault="60D33CC6" w:rsidP="60D33CC6">
      <w:pPr>
        <w:spacing w:after="390" w:line="240" w:lineRule="auto"/>
        <w:rPr>
          <w:rFonts w:ascii="Arial" w:hAnsi="Arial"/>
          <w:sz w:val="24"/>
          <w:szCs w:val="24"/>
        </w:rPr>
      </w:pPr>
      <w:r w:rsidRPr="002E410F">
        <w:rPr>
          <w:rFonts w:ascii="Arial" w:hAnsi="Arial"/>
          <w:sz w:val="24"/>
          <w:szCs w:val="24"/>
        </w:rPr>
        <w:lastRenderedPageBreak/>
        <w:t>Another concern was that the financial costs of</w:t>
      </w:r>
      <w:r w:rsidR="004C782D" w:rsidRPr="002E410F">
        <w:rPr>
          <w:rFonts w:ascii="Arial" w:hAnsi="Arial"/>
          <w:sz w:val="24"/>
          <w:szCs w:val="24"/>
        </w:rPr>
        <w:t xml:space="preserve"> </w:t>
      </w:r>
      <w:r w:rsidRPr="002E410F">
        <w:rPr>
          <w:rFonts w:ascii="Arial" w:hAnsi="Arial"/>
          <w:sz w:val="24"/>
          <w:szCs w:val="24"/>
        </w:rPr>
        <w:t>investments imposed excessive claims on future taxation revenues contrary to inter-generational fairness, especially where the benefits were social</w:t>
      </w:r>
      <w:r w:rsidR="004C782D" w:rsidRPr="002E410F">
        <w:rPr>
          <w:rFonts w:ascii="Arial" w:hAnsi="Arial"/>
          <w:sz w:val="24"/>
          <w:szCs w:val="24"/>
        </w:rPr>
        <w:t>,</w:t>
      </w:r>
      <w:r w:rsidRPr="002E410F">
        <w:rPr>
          <w:rFonts w:ascii="Arial" w:hAnsi="Arial"/>
          <w:sz w:val="24"/>
          <w:szCs w:val="24"/>
        </w:rPr>
        <w:t xml:space="preserve"> rather than financial or economic in content.</w:t>
      </w:r>
    </w:p>
    <w:p w14:paraId="342FC9A1" w14:textId="1A6585E5" w:rsidR="00133F46" w:rsidRPr="002E410F" w:rsidRDefault="009D764C" w:rsidP="08DD1E8B">
      <w:pPr>
        <w:spacing w:after="390" w:line="240" w:lineRule="auto"/>
        <w:rPr>
          <w:rFonts w:ascii="Arial" w:hAnsi="Arial"/>
          <w:sz w:val="24"/>
          <w:szCs w:val="24"/>
        </w:rPr>
      </w:pPr>
      <w:r w:rsidRPr="002E410F">
        <w:rPr>
          <w:rFonts w:ascii="Arial" w:hAnsi="Arial"/>
          <w:sz w:val="24"/>
          <w:szCs w:val="24"/>
        </w:rPr>
        <w:t>The setting of</w:t>
      </w:r>
      <w:r w:rsidR="08DD1E8B" w:rsidRPr="002E410F">
        <w:rPr>
          <w:rFonts w:ascii="Arial" w:hAnsi="Arial"/>
          <w:sz w:val="24"/>
          <w:szCs w:val="24"/>
        </w:rPr>
        <w:t> </w:t>
      </w:r>
      <w:r w:rsidRPr="002E410F">
        <w:rPr>
          <w:rFonts w:ascii="Arial" w:hAnsi="Arial"/>
          <w:sz w:val="24"/>
          <w:szCs w:val="24"/>
        </w:rPr>
        <w:t>a 40</w:t>
      </w:r>
      <w:r w:rsidR="08DD1E8B" w:rsidRPr="002E410F">
        <w:rPr>
          <w:rFonts w:ascii="Arial" w:hAnsi="Arial"/>
          <w:sz w:val="24"/>
          <w:szCs w:val="24"/>
        </w:rPr>
        <w:t>% ratio</w:t>
      </w:r>
      <w:r w:rsidRPr="002E410F">
        <w:rPr>
          <w:rFonts w:ascii="Arial" w:hAnsi="Arial"/>
          <w:sz w:val="24"/>
          <w:szCs w:val="24"/>
        </w:rPr>
        <w:t xml:space="preserve"> was</w:t>
      </w:r>
      <w:r w:rsidR="005051C5" w:rsidRPr="002E410F">
        <w:rPr>
          <w:rFonts w:ascii="Arial" w:hAnsi="Arial"/>
          <w:sz w:val="24"/>
          <w:szCs w:val="24"/>
        </w:rPr>
        <w:t>, however,</w:t>
      </w:r>
      <w:r w:rsidRPr="002E410F">
        <w:rPr>
          <w:rFonts w:ascii="Arial" w:hAnsi="Arial"/>
          <w:sz w:val="24"/>
          <w:szCs w:val="24"/>
        </w:rPr>
        <w:t xml:space="preserve"> arbitrary and not based on any real evidential economic grounds</w:t>
      </w:r>
      <w:r w:rsidR="08DD1E8B" w:rsidRPr="002E410F">
        <w:rPr>
          <w:rFonts w:ascii="Arial" w:hAnsi="Arial"/>
          <w:sz w:val="24"/>
          <w:szCs w:val="24"/>
        </w:rPr>
        <w:t>.</w:t>
      </w:r>
    </w:p>
    <w:p w14:paraId="3993D836" w14:textId="3C91640B" w:rsidR="00133F46" w:rsidRPr="002E410F" w:rsidRDefault="60D33CC6" w:rsidP="60D33CC6">
      <w:pPr>
        <w:spacing w:after="390" w:line="240" w:lineRule="auto"/>
        <w:rPr>
          <w:rFonts w:ascii="Arial" w:hAnsi="Arial"/>
          <w:sz w:val="24"/>
          <w:szCs w:val="24"/>
        </w:rPr>
      </w:pPr>
      <w:r w:rsidRPr="002E410F">
        <w:rPr>
          <w:rFonts w:ascii="Arial" w:hAnsi="Arial"/>
          <w:sz w:val="24"/>
          <w:szCs w:val="24"/>
        </w:rPr>
        <w:t xml:space="preserve">In actuality, the impact of the 2008-09 Great Financial Crash (GFC) – largely an external shock resulting from leveraged international lending on sub-prime US mortgage assets – on the public finances, ten years on, rendered the </w:t>
      </w:r>
      <w:r w:rsidR="0094649A">
        <w:rPr>
          <w:rFonts w:ascii="Arial" w:hAnsi="Arial"/>
          <w:sz w:val="24"/>
          <w:szCs w:val="24"/>
        </w:rPr>
        <w:t>S</w:t>
      </w:r>
      <w:r w:rsidRPr="002E410F">
        <w:rPr>
          <w:rFonts w:ascii="Arial" w:hAnsi="Arial"/>
          <w:sz w:val="24"/>
          <w:szCs w:val="24"/>
        </w:rPr>
        <w:t xml:space="preserve">ustainable </w:t>
      </w:r>
      <w:r w:rsidR="0094649A">
        <w:rPr>
          <w:rFonts w:ascii="Arial" w:hAnsi="Arial"/>
          <w:sz w:val="24"/>
          <w:szCs w:val="24"/>
        </w:rPr>
        <w:t>I</w:t>
      </w:r>
      <w:r w:rsidRPr="002E410F">
        <w:rPr>
          <w:rFonts w:ascii="Arial" w:hAnsi="Arial"/>
          <w:sz w:val="24"/>
          <w:szCs w:val="24"/>
        </w:rPr>
        <w:t xml:space="preserve">nvestment </w:t>
      </w:r>
      <w:r w:rsidR="0094649A">
        <w:rPr>
          <w:rFonts w:ascii="Arial" w:hAnsi="Arial"/>
          <w:sz w:val="24"/>
          <w:szCs w:val="24"/>
        </w:rPr>
        <w:t>R</w:t>
      </w:r>
      <w:r w:rsidRPr="002E410F">
        <w:rPr>
          <w:rFonts w:ascii="Arial" w:hAnsi="Arial"/>
          <w:sz w:val="24"/>
          <w:szCs w:val="24"/>
        </w:rPr>
        <w:t xml:space="preserve">ule redundant:  public borrowing ballooned to prevent a re-run of the 30’s depression. </w:t>
      </w:r>
    </w:p>
    <w:p w14:paraId="2856EE8C" w14:textId="409990AD" w:rsidR="00133F46" w:rsidRPr="002E410F" w:rsidRDefault="08DD1E8B" w:rsidP="08DD1E8B">
      <w:pPr>
        <w:spacing w:after="390" w:line="240" w:lineRule="auto"/>
        <w:rPr>
          <w:rFonts w:ascii="Arial" w:hAnsi="Arial"/>
          <w:sz w:val="24"/>
          <w:szCs w:val="24"/>
        </w:rPr>
      </w:pPr>
      <w:r w:rsidRPr="002E410F">
        <w:rPr>
          <w:rFonts w:ascii="Arial" w:hAnsi="Arial"/>
          <w:sz w:val="24"/>
          <w:szCs w:val="24"/>
        </w:rPr>
        <w:t>Ironically, or, perhaps, inevitably, unbridled financial liberalisation linked to the ascendancy and over-reach of neo-liberalism</w:t>
      </w:r>
      <w:r w:rsidR="004B1738">
        <w:rPr>
          <w:rFonts w:ascii="Arial" w:hAnsi="Arial"/>
          <w:sz w:val="24"/>
          <w:szCs w:val="24"/>
        </w:rPr>
        <w:t xml:space="preserve"> -</w:t>
      </w:r>
      <w:r w:rsidRPr="002E410F">
        <w:rPr>
          <w:rFonts w:ascii="Arial" w:hAnsi="Arial"/>
          <w:sz w:val="24"/>
          <w:szCs w:val="24"/>
        </w:rPr>
        <w:t xml:space="preserve"> </w:t>
      </w:r>
      <w:r w:rsidR="009D764C" w:rsidRPr="002E410F">
        <w:rPr>
          <w:rFonts w:ascii="Arial" w:hAnsi="Arial"/>
          <w:sz w:val="24"/>
          <w:szCs w:val="24"/>
        </w:rPr>
        <w:t>as it had developed from the eighties onwards</w:t>
      </w:r>
      <w:r w:rsidR="004B1738">
        <w:rPr>
          <w:rFonts w:ascii="Arial" w:hAnsi="Arial"/>
          <w:sz w:val="24"/>
          <w:szCs w:val="24"/>
        </w:rPr>
        <w:t xml:space="preserve"> - </w:t>
      </w:r>
      <w:r w:rsidR="009D764C" w:rsidRPr="002E410F">
        <w:rPr>
          <w:rFonts w:ascii="Arial" w:hAnsi="Arial"/>
          <w:sz w:val="24"/>
          <w:szCs w:val="24"/>
        </w:rPr>
        <w:t>led to</w:t>
      </w:r>
      <w:r w:rsidRPr="002E410F">
        <w:rPr>
          <w:rFonts w:ascii="Arial" w:hAnsi="Arial"/>
          <w:sz w:val="24"/>
          <w:szCs w:val="24"/>
        </w:rPr>
        <w:t xml:space="preserve"> </w:t>
      </w:r>
      <w:r w:rsidR="005051C5" w:rsidRPr="002E410F">
        <w:rPr>
          <w:rFonts w:ascii="Arial" w:hAnsi="Arial"/>
          <w:sz w:val="24"/>
          <w:szCs w:val="24"/>
        </w:rPr>
        <w:t xml:space="preserve">an economic crisis </w:t>
      </w:r>
      <w:r w:rsidR="004B1738">
        <w:rPr>
          <w:rFonts w:ascii="Arial" w:hAnsi="Arial"/>
          <w:sz w:val="24"/>
          <w:szCs w:val="24"/>
        </w:rPr>
        <w:t xml:space="preserve">that was </w:t>
      </w:r>
      <w:r w:rsidR="005051C5" w:rsidRPr="002E410F">
        <w:rPr>
          <w:rFonts w:ascii="Arial" w:hAnsi="Arial"/>
          <w:sz w:val="24"/>
          <w:szCs w:val="24"/>
        </w:rPr>
        <w:t>caused by excess private, not public, debt.</w:t>
      </w:r>
    </w:p>
    <w:p w14:paraId="442C5322" w14:textId="737E0F86" w:rsidR="005051C5" w:rsidRPr="002E410F" w:rsidRDefault="005051C5" w:rsidP="08DD1E8B">
      <w:pPr>
        <w:spacing w:after="390" w:line="240" w:lineRule="auto"/>
        <w:rPr>
          <w:rFonts w:ascii="Arial" w:hAnsi="Arial"/>
          <w:sz w:val="24"/>
          <w:szCs w:val="24"/>
        </w:rPr>
      </w:pPr>
      <w:r w:rsidRPr="002E410F">
        <w:rPr>
          <w:rFonts w:ascii="Arial" w:hAnsi="Arial"/>
          <w:sz w:val="24"/>
          <w:szCs w:val="24"/>
        </w:rPr>
        <w:t>The front-loading of the cash costs of investments into the short-term and their immediate impact on net debt, when their benefits accrue over the long-term meant, however, that discrimination against investment expenditures remained under New Labour’s cash-based fiscal framework.</w:t>
      </w:r>
    </w:p>
    <w:p w14:paraId="0AF1981D" w14:textId="77777777" w:rsidR="0014343C" w:rsidRDefault="60D33CC6" w:rsidP="60D33CC6">
      <w:pPr>
        <w:spacing w:after="390" w:line="240" w:lineRule="auto"/>
        <w:rPr>
          <w:rFonts w:ascii="Arial" w:hAnsi="Arial"/>
          <w:sz w:val="24"/>
          <w:szCs w:val="24"/>
        </w:rPr>
      </w:pPr>
      <w:r w:rsidRPr="002E410F">
        <w:rPr>
          <w:rFonts w:ascii="Arial" w:hAnsi="Arial"/>
          <w:sz w:val="24"/>
          <w:szCs w:val="24"/>
        </w:rPr>
        <w:t xml:space="preserve">The ordering of the </w:t>
      </w:r>
      <w:r w:rsidR="00DC7371">
        <w:rPr>
          <w:rFonts w:ascii="Arial" w:hAnsi="Arial"/>
          <w:sz w:val="24"/>
          <w:szCs w:val="24"/>
        </w:rPr>
        <w:t>G</w:t>
      </w:r>
      <w:r w:rsidRPr="002E410F">
        <w:rPr>
          <w:rFonts w:ascii="Arial" w:hAnsi="Arial"/>
          <w:sz w:val="24"/>
          <w:szCs w:val="24"/>
        </w:rPr>
        <w:t xml:space="preserve">olden and </w:t>
      </w:r>
      <w:r w:rsidR="00DC7371">
        <w:rPr>
          <w:rFonts w:ascii="Arial" w:hAnsi="Arial"/>
          <w:sz w:val="24"/>
          <w:szCs w:val="24"/>
        </w:rPr>
        <w:t>S</w:t>
      </w:r>
      <w:r w:rsidRPr="002E410F">
        <w:rPr>
          <w:rFonts w:ascii="Arial" w:hAnsi="Arial"/>
          <w:sz w:val="24"/>
          <w:szCs w:val="24"/>
        </w:rPr>
        <w:t xml:space="preserve">ustainable </w:t>
      </w:r>
      <w:r w:rsidR="00DC7371">
        <w:rPr>
          <w:rFonts w:ascii="Arial" w:hAnsi="Arial"/>
          <w:sz w:val="24"/>
          <w:szCs w:val="24"/>
        </w:rPr>
        <w:t>I</w:t>
      </w:r>
      <w:r w:rsidRPr="002E410F">
        <w:rPr>
          <w:rFonts w:ascii="Arial" w:hAnsi="Arial"/>
          <w:sz w:val="24"/>
          <w:szCs w:val="24"/>
        </w:rPr>
        <w:t xml:space="preserve">nvestment fiscal rules, in addition, produced a perverse incentive for public infrastructure assets to be procured off-balance sheet, through Public-Private Partnership (PPP) arrangements, </w:t>
      </w:r>
      <w:r w:rsidR="00647FA5">
        <w:rPr>
          <w:rFonts w:ascii="Arial" w:hAnsi="Arial"/>
          <w:sz w:val="24"/>
          <w:szCs w:val="24"/>
        </w:rPr>
        <w:t xml:space="preserve">primarily </w:t>
      </w:r>
      <w:r w:rsidRPr="002E410F">
        <w:rPr>
          <w:rFonts w:ascii="Arial" w:hAnsi="Arial"/>
          <w:sz w:val="24"/>
          <w:szCs w:val="24"/>
        </w:rPr>
        <w:t>the Private Finance Initiative (PFI)</w:t>
      </w:r>
      <w:r w:rsidR="0014343C">
        <w:rPr>
          <w:rFonts w:ascii="Arial" w:hAnsi="Arial"/>
          <w:sz w:val="24"/>
          <w:szCs w:val="24"/>
        </w:rPr>
        <w:t>.</w:t>
      </w:r>
    </w:p>
    <w:p w14:paraId="04E54388" w14:textId="6D87D696" w:rsidR="00133F46" w:rsidRPr="002E410F" w:rsidRDefault="0014343C" w:rsidP="60D33CC6">
      <w:pPr>
        <w:spacing w:after="390" w:line="240" w:lineRule="auto"/>
        <w:rPr>
          <w:rFonts w:ascii="Arial" w:hAnsi="Arial"/>
          <w:sz w:val="24"/>
          <w:szCs w:val="24"/>
        </w:rPr>
      </w:pPr>
      <w:r>
        <w:rPr>
          <w:rFonts w:ascii="Arial" w:hAnsi="Arial"/>
          <w:sz w:val="24"/>
          <w:szCs w:val="24"/>
        </w:rPr>
        <w:t>This was because</w:t>
      </w:r>
      <w:r w:rsidR="005051C5" w:rsidRPr="002E410F">
        <w:rPr>
          <w:rFonts w:ascii="Arial" w:hAnsi="Arial"/>
          <w:sz w:val="24"/>
          <w:szCs w:val="24"/>
        </w:rPr>
        <w:t xml:space="preserve"> t</w:t>
      </w:r>
      <w:r w:rsidR="60D33CC6" w:rsidRPr="002E410F">
        <w:rPr>
          <w:rFonts w:ascii="Arial" w:hAnsi="Arial"/>
          <w:sz w:val="24"/>
          <w:szCs w:val="24"/>
        </w:rPr>
        <w:t xml:space="preserve">heir up-front capital costs, depending on their accounting treatment, were not counted as public expenditure and did not add to either the fiscal deficit or net public debt measures. </w:t>
      </w:r>
    </w:p>
    <w:p w14:paraId="2A0A2828" w14:textId="45CBA81A" w:rsidR="00133F46" w:rsidRPr="002E410F" w:rsidRDefault="60D33CC6" w:rsidP="60D33CC6">
      <w:pPr>
        <w:spacing w:after="390" w:line="240" w:lineRule="auto"/>
        <w:rPr>
          <w:rFonts w:ascii="Arial" w:hAnsi="Arial"/>
          <w:sz w:val="24"/>
          <w:szCs w:val="24"/>
        </w:rPr>
      </w:pPr>
      <w:r w:rsidRPr="002E410F">
        <w:rPr>
          <w:rFonts w:ascii="Arial" w:hAnsi="Arial"/>
          <w:sz w:val="24"/>
          <w:szCs w:val="24"/>
        </w:rPr>
        <w:t xml:space="preserve">Such arrangements did, however, </w:t>
      </w:r>
      <w:r w:rsidR="006076B2">
        <w:rPr>
          <w:rFonts w:ascii="Arial" w:hAnsi="Arial"/>
          <w:sz w:val="24"/>
          <w:szCs w:val="24"/>
        </w:rPr>
        <w:t xml:space="preserve">and continue to </w:t>
      </w:r>
      <w:r w:rsidRPr="002E410F">
        <w:rPr>
          <w:rFonts w:ascii="Arial" w:hAnsi="Arial"/>
          <w:sz w:val="24"/>
          <w:szCs w:val="24"/>
        </w:rPr>
        <w:t>bequeath long-term financial public revenue liabilities, with client authorities having to pay, generally over 30 years, annual reoccurring charges covering the provision and maintenance costs of the assets in question, plus  private profits</w:t>
      </w:r>
      <w:r w:rsidR="00C36B4F">
        <w:rPr>
          <w:rFonts w:ascii="Arial" w:hAnsi="Arial"/>
          <w:sz w:val="24"/>
          <w:szCs w:val="24"/>
        </w:rPr>
        <w:t xml:space="preserve">, </w:t>
      </w:r>
      <w:r w:rsidR="008A16A9">
        <w:rPr>
          <w:rFonts w:ascii="Arial" w:hAnsi="Arial"/>
          <w:sz w:val="24"/>
          <w:szCs w:val="24"/>
        </w:rPr>
        <w:t xml:space="preserve">leading to the final ending of PFI </w:t>
      </w:r>
      <w:r w:rsidR="00446F81">
        <w:rPr>
          <w:rFonts w:ascii="Arial" w:hAnsi="Arial"/>
          <w:sz w:val="24"/>
          <w:szCs w:val="24"/>
        </w:rPr>
        <w:t xml:space="preserve">as a procurement option </w:t>
      </w:r>
      <w:r w:rsidR="008A16A9">
        <w:rPr>
          <w:rFonts w:ascii="Arial" w:hAnsi="Arial"/>
          <w:sz w:val="24"/>
          <w:szCs w:val="24"/>
        </w:rPr>
        <w:t xml:space="preserve">in 2018, </w:t>
      </w:r>
      <w:r w:rsidR="00C36B4F">
        <w:rPr>
          <w:rFonts w:ascii="Arial" w:hAnsi="Arial"/>
          <w:sz w:val="24"/>
          <w:szCs w:val="24"/>
        </w:rPr>
        <w:t xml:space="preserve">as </w:t>
      </w:r>
      <w:r w:rsidR="008A16A9" w:rsidRPr="00DE7A36">
        <w:rPr>
          <w:rFonts w:ascii="Arial" w:hAnsi="Arial"/>
          <w:i/>
          <w:iCs/>
          <w:sz w:val="24"/>
          <w:szCs w:val="24"/>
        </w:rPr>
        <w:t xml:space="preserve">Section </w:t>
      </w:r>
      <w:r w:rsidR="00DE7A36" w:rsidRPr="00DE7A36">
        <w:rPr>
          <w:rFonts w:ascii="Arial" w:hAnsi="Arial"/>
          <w:i/>
          <w:iCs/>
          <w:sz w:val="24"/>
          <w:szCs w:val="24"/>
        </w:rPr>
        <w:t>4</w:t>
      </w:r>
      <w:r w:rsidR="00DC6982">
        <w:rPr>
          <w:rFonts w:ascii="Arial" w:hAnsi="Arial"/>
          <w:i/>
          <w:iCs/>
          <w:sz w:val="24"/>
          <w:szCs w:val="24"/>
        </w:rPr>
        <w:t xml:space="preserve"> </w:t>
      </w:r>
      <w:r w:rsidR="00DC6982" w:rsidRPr="00DC6982">
        <w:rPr>
          <w:rFonts w:ascii="Arial" w:hAnsi="Arial"/>
          <w:sz w:val="24"/>
          <w:szCs w:val="24"/>
        </w:rPr>
        <w:t>deta</w:t>
      </w:r>
      <w:r w:rsidR="00DC6982">
        <w:rPr>
          <w:rFonts w:ascii="Arial" w:hAnsi="Arial"/>
          <w:sz w:val="24"/>
          <w:szCs w:val="24"/>
        </w:rPr>
        <w:t>i</w:t>
      </w:r>
      <w:r w:rsidR="00DC6982" w:rsidRPr="00DC6982">
        <w:rPr>
          <w:rFonts w:ascii="Arial" w:hAnsi="Arial"/>
          <w:sz w:val="24"/>
          <w:szCs w:val="24"/>
        </w:rPr>
        <w:t>l</w:t>
      </w:r>
      <w:r w:rsidR="00DC6982">
        <w:rPr>
          <w:rFonts w:ascii="Arial" w:hAnsi="Arial"/>
          <w:i/>
          <w:iCs/>
          <w:sz w:val="24"/>
          <w:szCs w:val="24"/>
        </w:rPr>
        <w:t>s</w:t>
      </w:r>
      <w:r w:rsidRPr="002E410F">
        <w:rPr>
          <w:rFonts w:ascii="Arial" w:hAnsi="Arial"/>
          <w:sz w:val="24"/>
          <w:szCs w:val="24"/>
        </w:rPr>
        <w:t>.</w:t>
      </w:r>
    </w:p>
    <w:p w14:paraId="16CFAAD3" w14:textId="5041F763" w:rsidR="00133F46" w:rsidRPr="002E410F" w:rsidRDefault="08DD1E8B" w:rsidP="08DD1E8B">
      <w:pPr>
        <w:spacing w:after="390" w:line="240" w:lineRule="auto"/>
        <w:rPr>
          <w:rFonts w:ascii="Arial" w:hAnsi="Arial"/>
          <w:sz w:val="24"/>
          <w:szCs w:val="24"/>
        </w:rPr>
      </w:pPr>
      <w:r w:rsidRPr="002E410F">
        <w:rPr>
          <w:rFonts w:ascii="Arial" w:hAnsi="Arial"/>
          <w:sz w:val="24"/>
          <w:szCs w:val="24"/>
        </w:rPr>
        <w:t>Overall, net public investment under New Labour, measured as a proportion of GDP, recovered only slowly to exceed 2% in 2004-2005, before peaking at 3.4% during 2008-10; still well below average post-war levels.</w:t>
      </w:r>
    </w:p>
    <w:p w14:paraId="128AB94B" w14:textId="7DB4F132" w:rsidR="005051C5" w:rsidRPr="002E410F" w:rsidRDefault="005051C5" w:rsidP="005051C5">
      <w:pPr>
        <w:spacing w:after="390" w:line="240" w:lineRule="auto"/>
        <w:rPr>
          <w:rFonts w:ascii="Arial" w:hAnsi="Arial"/>
          <w:sz w:val="24"/>
          <w:szCs w:val="24"/>
        </w:rPr>
      </w:pPr>
      <w:r w:rsidRPr="002E410F">
        <w:rPr>
          <w:rFonts w:ascii="Arial" w:hAnsi="Arial"/>
          <w:sz w:val="24"/>
          <w:szCs w:val="24"/>
        </w:rPr>
        <w:t>Apart from the specification of the fiscal rules</w:t>
      </w:r>
      <w:r w:rsidR="00727A6B" w:rsidRPr="002E410F">
        <w:rPr>
          <w:rFonts w:ascii="Arial" w:hAnsi="Arial"/>
          <w:sz w:val="24"/>
          <w:szCs w:val="24"/>
        </w:rPr>
        <w:t>, u</w:t>
      </w:r>
      <w:r w:rsidRPr="002E410F">
        <w:rPr>
          <w:rFonts w:ascii="Arial" w:hAnsi="Arial"/>
          <w:sz w:val="24"/>
          <w:szCs w:val="24"/>
        </w:rPr>
        <w:t xml:space="preserve">nderspending of departmental capital budgets </w:t>
      </w:r>
      <w:r w:rsidR="00727A6B" w:rsidRPr="002E410F">
        <w:rPr>
          <w:rFonts w:ascii="Arial" w:hAnsi="Arial"/>
          <w:sz w:val="24"/>
          <w:szCs w:val="24"/>
        </w:rPr>
        <w:t xml:space="preserve">was a </w:t>
      </w:r>
      <w:r w:rsidRPr="002E410F">
        <w:rPr>
          <w:rFonts w:ascii="Arial" w:hAnsi="Arial"/>
          <w:sz w:val="24"/>
          <w:szCs w:val="24"/>
        </w:rPr>
        <w:t xml:space="preserve">brake on achieving a higher investment outturn. For example, during </w:t>
      </w:r>
      <w:r w:rsidRPr="002E410F">
        <w:rPr>
          <w:rFonts w:ascii="Arial" w:hAnsi="Arial"/>
          <w:sz w:val="24"/>
          <w:szCs w:val="24"/>
        </w:rPr>
        <w:lastRenderedPageBreak/>
        <w:t>2005-6, recorded net public investment was more than ten per cent lower than the £26bn projected two years earlier.</w:t>
      </w:r>
    </w:p>
    <w:p w14:paraId="0FC61419" w14:textId="6335D343" w:rsidR="00727A6B" w:rsidRPr="002E410F" w:rsidRDefault="00727A6B" w:rsidP="08DD1E8B">
      <w:pPr>
        <w:spacing w:after="390" w:line="240" w:lineRule="auto"/>
        <w:rPr>
          <w:rFonts w:ascii="Arial" w:hAnsi="Arial"/>
          <w:sz w:val="24"/>
          <w:szCs w:val="24"/>
        </w:rPr>
      </w:pPr>
      <w:r w:rsidRPr="002E410F">
        <w:rPr>
          <w:rFonts w:ascii="Arial" w:hAnsi="Arial"/>
          <w:sz w:val="24"/>
          <w:szCs w:val="24"/>
        </w:rPr>
        <w:t>W</w:t>
      </w:r>
      <w:r w:rsidR="08DD1E8B" w:rsidRPr="002E410F">
        <w:rPr>
          <w:rFonts w:ascii="Arial" w:hAnsi="Arial"/>
          <w:sz w:val="24"/>
          <w:szCs w:val="24"/>
        </w:rPr>
        <w:t xml:space="preserve">ith the election of the coalition government in 2010, and </w:t>
      </w:r>
      <w:r w:rsidRPr="002E410F">
        <w:rPr>
          <w:rFonts w:ascii="Arial" w:hAnsi="Arial"/>
          <w:sz w:val="24"/>
          <w:szCs w:val="24"/>
        </w:rPr>
        <w:t xml:space="preserve">the appointment of </w:t>
      </w:r>
      <w:r w:rsidR="08DD1E8B" w:rsidRPr="002E410F">
        <w:rPr>
          <w:rFonts w:ascii="Arial" w:hAnsi="Arial"/>
          <w:sz w:val="24"/>
          <w:szCs w:val="24"/>
        </w:rPr>
        <w:t>George Osborne as chancellor,</w:t>
      </w:r>
      <w:r w:rsidRPr="002E410F">
        <w:rPr>
          <w:rFonts w:ascii="Arial" w:hAnsi="Arial"/>
          <w:sz w:val="24"/>
          <w:szCs w:val="24"/>
        </w:rPr>
        <w:t xml:space="preserve"> the ‘</w:t>
      </w:r>
      <w:r w:rsidR="00D75420">
        <w:rPr>
          <w:rFonts w:ascii="Arial" w:hAnsi="Arial"/>
          <w:sz w:val="24"/>
          <w:szCs w:val="24"/>
        </w:rPr>
        <w:t>G</w:t>
      </w:r>
      <w:r w:rsidR="08DD1E8B" w:rsidRPr="002E410F">
        <w:rPr>
          <w:rFonts w:ascii="Arial" w:hAnsi="Arial"/>
          <w:sz w:val="24"/>
          <w:szCs w:val="24"/>
        </w:rPr>
        <w:t xml:space="preserve">olden </w:t>
      </w:r>
      <w:r w:rsidR="00D75420">
        <w:rPr>
          <w:rFonts w:ascii="Arial" w:hAnsi="Arial"/>
          <w:sz w:val="24"/>
          <w:szCs w:val="24"/>
        </w:rPr>
        <w:t>R</w:t>
      </w:r>
      <w:r w:rsidR="08DD1E8B" w:rsidRPr="002E410F">
        <w:rPr>
          <w:rFonts w:ascii="Arial" w:hAnsi="Arial"/>
          <w:sz w:val="24"/>
          <w:szCs w:val="24"/>
        </w:rPr>
        <w:t>ule</w:t>
      </w:r>
      <w:r w:rsidRPr="002E410F">
        <w:rPr>
          <w:rFonts w:ascii="Arial" w:hAnsi="Arial"/>
          <w:sz w:val="24"/>
          <w:szCs w:val="24"/>
        </w:rPr>
        <w:t>’</w:t>
      </w:r>
      <w:r w:rsidR="08DD1E8B" w:rsidRPr="002E410F">
        <w:rPr>
          <w:rFonts w:ascii="Arial" w:hAnsi="Arial"/>
          <w:sz w:val="24"/>
          <w:szCs w:val="24"/>
        </w:rPr>
        <w:t xml:space="preserve"> was jettisoned. </w:t>
      </w:r>
    </w:p>
    <w:p w14:paraId="587F2AD6" w14:textId="77777777" w:rsidR="0047765A" w:rsidRDefault="00727A6B" w:rsidP="08DD1E8B">
      <w:pPr>
        <w:spacing w:after="390" w:line="240" w:lineRule="auto"/>
        <w:rPr>
          <w:rFonts w:ascii="Arial" w:hAnsi="Arial"/>
          <w:sz w:val="24"/>
          <w:szCs w:val="24"/>
        </w:rPr>
      </w:pPr>
      <w:r w:rsidRPr="002E410F">
        <w:rPr>
          <w:rFonts w:ascii="Arial" w:hAnsi="Arial"/>
          <w:sz w:val="24"/>
          <w:szCs w:val="24"/>
        </w:rPr>
        <w:t>Investment again bore the brunt of cuts in public expenditure that the 2010 public expenditure review made to reduce the borrowing deficit.</w:t>
      </w:r>
    </w:p>
    <w:p w14:paraId="37D91B9F" w14:textId="219B4616" w:rsidR="00133F46" w:rsidRPr="002E410F" w:rsidRDefault="00727A6B" w:rsidP="08DD1E8B">
      <w:pPr>
        <w:spacing w:after="390" w:line="240" w:lineRule="auto"/>
        <w:rPr>
          <w:rFonts w:ascii="Arial" w:hAnsi="Arial"/>
          <w:sz w:val="24"/>
          <w:szCs w:val="24"/>
        </w:rPr>
      </w:pPr>
      <w:r w:rsidRPr="002E410F">
        <w:rPr>
          <w:rFonts w:ascii="Arial" w:hAnsi="Arial"/>
          <w:sz w:val="24"/>
          <w:szCs w:val="24"/>
        </w:rPr>
        <w:t>T</w:t>
      </w:r>
      <w:r w:rsidR="08DD1E8B" w:rsidRPr="002E410F">
        <w:rPr>
          <w:rFonts w:ascii="Arial" w:hAnsi="Arial"/>
          <w:sz w:val="24"/>
          <w:szCs w:val="24"/>
        </w:rPr>
        <w:t>he housing capital programme</w:t>
      </w:r>
      <w:r w:rsidRPr="002E410F">
        <w:rPr>
          <w:rFonts w:ascii="Arial" w:hAnsi="Arial"/>
          <w:sz w:val="24"/>
          <w:szCs w:val="24"/>
        </w:rPr>
        <w:t xml:space="preserve"> was cut</w:t>
      </w:r>
      <w:r w:rsidR="08DD1E8B" w:rsidRPr="002E410F">
        <w:rPr>
          <w:rFonts w:ascii="Arial" w:hAnsi="Arial"/>
          <w:sz w:val="24"/>
          <w:szCs w:val="24"/>
        </w:rPr>
        <w:t xml:space="preserve"> by over 40% in cash terms, for instance</w:t>
      </w:r>
      <w:r w:rsidRPr="002E410F">
        <w:rPr>
          <w:rFonts w:ascii="Arial" w:hAnsi="Arial"/>
          <w:sz w:val="24"/>
          <w:szCs w:val="24"/>
        </w:rPr>
        <w:t xml:space="preserve">, </w:t>
      </w:r>
      <w:r w:rsidR="08DD1E8B" w:rsidRPr="002E410F">
        <w:rPr>
          <w:rFonts w:ascii="Arial" w:hAnsi="Arial"/>
          <w:sz w:val="24"/>
          <w:szCs w:val="24"/>
        </w:rPr>
        <w:t>during a period when total new housing supply was collapsing to levels not experienced since the second world war.</w:t>
      </w:r>
    </w:p>
    <w:p w14:paraId="1F057ABB" w14:textId="078BECB2" w:rsidR="00133F46" w:rsidRPr="002E410F" w:rsidRDefault="6F9A4702" w:rsidP="6F9A4702">
      <w:pPr>
        <w:spacing w:after="390" w:line="240" w:lineRule="auto"/>
        <w:rPr>
          <w:rFonts w:ascii="Arial" w:hAnsi="Arial"/>
          <w:sz w:val="24"/>
          <w:szCs w:val="24"/>
        </w:rPr>
      </w:pPr>
      <w:r w:rsidRPr="002E410F">
        <w:rPr>
          <w:rFonts w:ascii="Arial" w:hAnsi="Arial"/>
          <w:sz w:val="24"/>
          <w:szCs w:val="24"/>
        </w:rPr>
        <w:t>Excess corporate saving resulted in a dearth of investment within the economy that should have been offset by substantially higher sustainable levels of productive public investment.</w:t>
      </w:r>
    </w:p>
    <w:p w14:paraId="1722901C" w14:textId="2DD2A2F6" w:rsidR="08DD1E8B" w:rsidRPr="002E410F" w:rsidRDefault="00727A6B" w:rsidP="08DD1E8B">
      <w:pPr>
        <w:spacing w:after="390" w:line="240" w:lineRule="auto"/>
        <w:rPr>
          <w:rFonts w:ascii="Arial" w:hAnsi="Arial"/>
          <w:sz w:val="24"/>
          <w:szCs w:val="24"/>
        </w:rPr>
      </w:pPr>
      <w:r w:rsidRPr="002E410F">
        <w:rPr>
          <w:rFonts w:ascii="Arial" w:hAnsi="Arial"/>
          <w:sz w:val="24"/>
          <w:szCs w:val="24"/>
        </w:rPr>
        <w:t>But, i</w:t>
      </w:r>
      <w:r w:rsidR="08DD1E8B" w:rsidRPr="002E410F">
        <w:rPr>
          <w:rFonts w:ascii="Arial" w:hAnsi="Arial"/>
          <w:sz w:val="24"/>
          <w:szCs w:val="24"/>
        </w:rPr>
        <w:t>nstead of raising public investment during a period of record and sustained low interest rates, with the real cost of public borrowing to fund long-term productive assets</w:t>
      </w:r>
      <w:r w:rsidR="0047765A">
        <w:rPr>
          <w:rFonts w:ascii="Arial" w:hAnsi="Arial"/>
          <w:sz w:val="24"/>
          <w:szCs w:val="24"/>
        </w:rPr>
        <w:t>,</w:t>
      </w:r>
      <w:r w:rsidR="08DD1E8B" w:rsidRPr="002E410F">
        <w:rPr>
          <w:rFonts w:ascii="Arial" w:hAnsi="Arial"/>
          <w:sz w:val="24"/>
          <w:szCs w:val="24"/>
        </w:rPr>
        <w:t xml:space="preserve"> to all intents and purposes zero, and when unused capacity was going to waste in the construction and other industries, public investment was slashed, compounding under-capacity </w:t>
      </w:r>
      <w:r w:rsidR="00E306E0">
        <w:rPr>
          <w:rFonts w:ascii="Arial" w:hAnsi="Arial"/>
          <w:sz w:val="24"/>
          <w:szCs w:val="24"/>
        </w:rPr>
        <w:t xml:space="preserve">and </w:t>
      </w:r>
      <w:r w:rsidR="08DD1E8B" w:rsidRPr="002E410F">
        <w:rPr>
          <w:rFonts w:ascii="Arial" w:hAnsi="Arial"/>
          <w:sz w:val="24"/>
          <w:szCs w:val="24"/>
        </w:rPr>
        <w:t>leading to a loss of skills in those industries.</w:t>
      </w:r>
    </w:p>
    <w:p w14:paraId="7A18AC5B" w14:textId="354CB067" w:rsidR="00133F46" w:rsidRPr="002E410F" w:rsidRDefault="08DD1E8B" w:rsidP="08DD1E8B">
      <w:pPr>
        <w:spacing w:after="390" w:line="240" w:lineRule="auto"/>
        <w:rPr>
          <w:rFonts w:ascii="Arial" w:hAnsi="Arial"/>
          <w:sz w:val="24"/>
          <w:szCs w:val="24"/>
        </w:rPr>
      </w:pPr>
      <w:r w:rsidRPr="002E410F">
        <w:rPr>
          <w:rFonts w:ascii="Arial" w:hAnsi="Arial"/>
          <w:sz w:val="24"/>
          <w:szCs w:val="24"/>
        </w:rPr>
        <w:t xml:space="preserve">The overall contractional fiscal stance, concentrated on capital spending, proved self-defeating. Efforts to restore the public finances to balance and to reduce the public debt ratio were initially stymied by continuing recession, then delayed and hindered by muted recovery, and </w:t>
      </w:r>
      <w:r w:rsidR="00727A6B" w:rsidRPr="002E410F">
        <w:rPr>
          <w:rFonts w:ascii="Arial" w:hAnsi="Arial"/>
          <w:sz w:val="24"/>
          <w:szCs w:val="24"/>
        </w:rPr>
        <w:t xml:space="preserve">subsequently by </w:t>
      </w:r>
      <w:r w:rsidRPr="002E410F">
        <w:rPr>
          <w:rFonts w:ascii="Arial" w:hAnsi="Arial"/>
          <w:sz w:val="24"/>
          <w:szCs w:val="24"/>
        </w:rPr>
        <w:t xml:space="preserve">stagnation. </w:t>
      </w:r>
    </w:p>
    <w:p w14:paraId="52914AF4" w14:textId="77777777" w:rsidR="004F3A12" w:rsidRDefault="08DD1E8B" w:rsidP="08DD1E8B">
      <w:pPr>
        <w:spacing w:after="390" w:line="240" w:lineRule="auto"/>
        <w:rPr>
          <w:rFonts w:ascii="Arial" w:hAnsi="Arial"/>
          <w:sz w:val="24"/>
          <w:szCs w:val="24"/>
        </w:rPr>
      </w:pPr>
      <w:r w:rsidRPr="002E410F">
        <w:rPr>
          <w:rFonts w:ascii="Arial" w:hAnsi="Arial"/>
          <w:sz w:val="24"/>
          <w:szCs w:val="24"/>
        </w:rPr>
        <w:t xml:space="preserve">Mechanistic and varying – and often obtuse – fiscal targets </w:t>
      </w:r>
      <w:r w:rsidR="00727A6B" w:rsidRPr="002E410F">
        <w:rPr>
          <w:rFonts w:ascii="Arial" w:hAnsi="Arial"/>
          <w:sz w:val="24"/>
          <w:szCs w:val="24"/>
        </w:rPr>
        <w:t xml:space="preserve">have been </w:t>
      </w:r>
      <w:r w:rsidRPr="002E410F">
        <w:rPr>
          <w:rFonts w:ascii="Arial" w:hAnsi="Arial"/>
          <w:sz w:val="24"/>
          <w:szCs w:val="24"/>
        </w:rPr>
        <w:t>missed and extended.</w:t>
      </w:r>
    </w:p>
    <w:p w14:paraId="02E935AE" w14:textId="2AF5668E" w:rsidR="00E5148B" w:rsidRDefault="00175DB1" w:rsidP="08DD1E8B">
      <w:pPr>
        <w:spacing w:after="390" w:line="240" w:lineRule="auto"/>
        <w:rPr>
          <w:rFonts w:ascii="Arial" w:hAnsi="Arial"/>
          <w:sz w:val="24"/>
          <w:szCs w:val="24"/>
        </w:rPr>
      </w:pPr>
      <w:r w:rsidRPr="00175DB1">
        <w:rPr>
          <w:rFonts w:ascii="Arial" w:hAnsi="Arial"/>
          <w:sz w:val="24"/>
          <w:szCs w:val="24"/>
        </w:rPr>
        <w:t>Parliament in January 2017 commit</w:t>
      </w:r>
      <w:r>
        <w:rPr>
          <w:rFonts w:ascii="Arial" w:hAnsi="Arial"/>
          <w:sz w:val="24"/>
          <w:szCs w:val="24"/>
        </w:rPr>
        <w:t xml:space="preserve">ted </w:t>
      </w:r>
      <w:r w:rsidRPr="00175DB1">
        <w:rPr>
          <w:rFonts w:ascii="Arial" w:hAnsi="Arial"/>
          <w:sz w:val="24"/>
          <w:szCs w:val="24"/>
        </w:rPr>
        <w:t xml:space="preserve">the government to reducing the </w:t>
      </w:r>
      <w:r w:rsidR="004B35A7" w:rsidRPr="00175DB1">
        <w:rPr>
          <w:rFonts w:ascii="Arial" w:hAnsi="Arial"/>
          <w:sz w:val="24"/>
          <w:szCs w:val="24"/>
        </w:rPr>
        <w:t>cyclically adjusted</w:t>
      </w:r>
      <w:r w:rsidRPr="00175DB1">
        <w:rPr>
          <w:rFonts w:ascii="Arial" w:hAnsi="Arial"/>
          <w:sz w:val="24"/>
          <w:szCs w:val="24"/>
        </w:rPr>
        <w:t xml:space="preserve"> deficit to below 2% of GDP by 2020-21 and having debt </w:t>
      </w:r>
      <w:r w:rsidR="00E15484">
        <w:rPr>
          <w:rFonts w:ascii="Arial" w:hAnsi="Arial"/>
          <w:sz w:val="24"/>
          <w:szCs w:val="24"/>
        </w:rPr>
        <w:t xml:space="preserve">falling </w:t>
      </w:r>
      <w:r w:rsidRPr="00175DB1">
        <w:rPr>
          <w:rFonts w:ascii="Arial" w:hAnsi="Arial"/>
          <w:sz w:val="24"/>
          <w:szCs w:val="24"/>
        </w:rPr>
        <w:t xml:space="preserve">as a share of GDP </w:t>
      </w:r>
      <w:r w:rsidR="00E15484">
        <w:rPr>
          <w:rFonts w:ascii="Arial" w:hAnsi="Arial"/>
          <w:sz w:val="24"/>
          <w:szCs w:val="24"/>
        </w:rPr>
        <w:t>i</w:t>
      </w:r>
      <w:r w:rsidRPr="00175DB1">
        <w:rPr>
          <w:rFonts w:ascii="Arial" w:hAnsi="Arial"/>
          <w:sz w:val="24"/>
          <w:szCs w:val="24"/>
        </w:rPr>
        <w:t>n 2020-21.</w:t>
      </w:r>
    </w:p>
    <w:p w14:paraId="443DD770" w14:textId="56F06FF1" w:rsidR="00727A6B" w:rsidRPr="002E410F" w:rsidRDefault="00175DB1" w:rsidP="08DD1E8B">
      <w:pPr>
        <w:spacing w:after="390" w:line="240" w:lineRule="auto"/>
        <w:rPr>
          <w:rFonts w:ascii="Arial" w:hAnsi="Arial"/>
          <w:sz w:val="24"/>
          <w:szCs w:val="24"/>
        </w:rPr>
      </w:pPr>
      <w:r w:rsidRPr="00175DB1">
        <w:rPr>
          <w:rFonts w:ascii="Arial" w:hAnsi="Arial"/>
          <w:sz w:val="24"/>
          <w:szCs w:val="24"/>
        </w:rPr>
        <w:t xml:space="preserve">These rules </w:t>
      </w:r>
      <w:r>
        <w:rPr>
          <w:rFonts w:ascii="Arial" w:hAnsi="Arial"/>
          <w:sz w:val="24"/>
          <w:szCs w:val="24"/>
        </w:rPr>
        <w:t>are designed to</w:t>
      </w:r>
      <w:r w:rsidRPr="00175DB1">
        <w:rPr>
          <w:rFonts w:ascii="Arial" w:hAnsi="Arial"/>
          <w:sz w:val="24"/>
          <w:szCs w:val="24"/>
        </w:rPr>
        <w:t xml:space="preserve"> guide the UK towards a balanced budget by </w:t>
      </w:r>
      <w:r w:rsidR="00540D2F">
        <w:rPr>
          <w:rFonts w:ascii="Arial" w:hAnsi="Arial"/>
          <w:sz w:val="24"/>
          <w:szCs w:val="24"/>
        </w:rPr>
        <w:t xml:space="preserve">as soon as possible in </w:t>
      </w:r>
      <w:r w:rsidRPr="00175DB1">
        <w:rPr>
          <w:rFonts w:ascii="Arial" w:hAnsi="Arial"/>
          <w:sz w:val="24"/>
          <w:szCs w:val="24"/>
        </w:rPr>
        <w:t>the next decade</w:t>
      </w:r>
      <w:r w:rsidR="004839AC">
        <w:rPr>
          <w:rFonts w:ascii="Arial" w:hAnsi="Arial"/>
          <w:sz w:val="24"/>
          <w:szCs w:val="24"/>
        </w:rPr>
        <w:t>. They, however, will</w:t>
      </w:r>
      <w:r>
        <w:rPr>
          <w:rFonts w:ascii="Arial" w:hAnsi="Arial"/>
          <w:sz w:val="24"/>
          <w:szCs w:val="24"/>
        </w:rPr>
        <w:t xml:space="preserve"> </w:t>
      </w:r>
      <w:r w:rsidR="00683CDA">
        <w:rPr>
          <w:rFonts w:ascii="Arial" w:hAnsi="Arial"/>
          <w:sz w:val="24"/>
          <w:szCs w:val="24"/>
        </w:rPr>
        <w:t xml:space="preserve">constrain public investment below </w:t>
      </w:r>
      <w:r w:rsidR="00193127">
        <w:rPr>
          <w:rFonts w:ascii="Arial" w:hAnsi="Arial"/>
          <w:sz w:val="24"/>
          <w:szCs w:val="24"/>
        </w:rPr>
        <w:t xml:space="preserve">macro-economic requirements and/or </w:t>
      </w:r>
      <w:r w:rsidR="00E5148B">
        <w:rPr>
          <w:rFonts w:ascii="Arial" w:hAnsi="Arial"/>
          <w:sz w:val="24"/>
          <w:szCs w:val="24"/>
        </w:rPr>
        <w:t xml:space="preserve">continue to encourage the </w:t>
      </w:r>
      <w:r w:rsidR="00214D29">
        <w:rPr>
          <w:rFonts w:ascii="Arial" w:hAnsi="Arial"/>
          <w:sz w:val="24"/>
          <w:szCs w:val="24"/>
        </w:rPr>
        <w:t xml:space="preserve">use of private financing arrangements that </w:t>
      </w:r>
      <w:r w:rsidR="005352D0">
        <w:rPr>
          <w:rFonts w:ascii="Arial" w:hAnsi="Arial"/>
          <w:sz w:val="24"/>
          <w:szCs w:val="24"/>
        </w:rPr>
        <w:t>take spending off-the public balance-sheet in the short-term</w:t>
      </w:r>
      <w:r w:rsidR="009E4D0A">
        <w:rPr>
          <w:rFonts w:ascii="Arial" w:hAnsi="Arial"/>
          <w:sz w:val="24"/>
          <w:szCs w:val="24"/>
        </w:rPr>
        <w:t>,</w:t>
      </w:r>
      <w:r w:rsidR="005352D0">
        <w:rPr>
          <w:rFonts w:ascii="Arial" w:hAnsi="Arial"/>
          <w:sz w:val="24"/>
          <w:szCs w:val="24"/>
        </w:rPr>
        <w:t xml:space="preserve"> even though they will prove more expe</w:t>
      </w:r>
      <w:r w:rsidR="00B813FA">
        <w:rPr>
          <w:rFonts w:ascii="Arial" w:hAnsi="Arial"/>
          <w:sz w:val="24"/>
          <w:szCs w:val="24"/>
        </w:rPr>
        <w:t>nsive to the public purse over time</w:t>
      </w:r>
      <w:r w:rsidR="004839AC">
        <w:rPr>
          <w:rFonts w:ascii="Arial" w:hAnsi="Arial"/>
          <w:sz w:val="24"/>
          <w:szCs w:val="24"/>
        </w:rPr>
        <w:t>. T</w:t>
      </w:r>
      <w:r w:rsidR="00E15484">
        <w:rPr>
          <w:rFonts w:ascii="Arial" w:hAnsi="Arial"/>
          <w:sz w:val="24"/>
          <w:szCs w:val="24"/>
        </w:rPr>
        <w:t xml:space="preserve">he </w:t>
      </w:r>
      <w:r w:rsidR="00B813FA">
        <w:rPr>
          <w:rFonts w:ascii="Arial" w:hAnsi="Arial"/>
          <w:sz w:val="24"/>
          <w:szCs w:val="24"/>
        </w:rPr>
        <w:t>long-term fiscal sustainability of the public finances</w:t>
      </w:r>
      <w:r w:rsidR="004839AC">
        <w:rPr>
          <w:rFonts w:ascii="Arial" w:hAnsi="Arial"/>
          <w:sz w:val="24"/>
          <w:szCs w:val="24"/>
        </w:rPr>
        <w:t xml:space="preserve"> will be under</w:t>
      </w:r>
      <w:r w:rsidR="0045645A">
        <w:rPr>
          <w:rFonts w:ascii="Arial" w:hAnsi="Arial"/>
          <w:sz w:val="24"/>
          <w:szCs w:val="24"/>
        </w:rPr>
        <w:t>mined</w:t>
      </w:r>
      <w:r w:rsidR="00540D2F">
        <w:rPr>
          <w:rFonts w:ascii="Arial" w:hAnsi="Arial"/>
          <w:sz w:val="24"/>
          <w:szCs w:val="24"/>
        </w:rPr>
        <w:t>,</w:t>
      </w:r>
      <w:r w:rsidR="0045645A">
        <w:rPr>
          <w:rFonts w:ascii="Arial" w:hAnsi="Arial"/>
          <w:sz w:val="24"/>
          <w:szCs w:val="24"/>
        </w:rPr>
        <w:t xml:space="preserve"> either way</w:t>
      </w:r>
      <w:r w:rsidR="00B813FA">
        <w:rPr>
          <w:rFonts w:ascii="Arial" w:hAnsi="Arial"/>
          <w:sz w:val="24"/>
          <w:szCs w:val="24"/>
        </w:rPr>
        <w:t xml:space="preserve">. </w:t>
      </w:r>
      <w:r w:rsidR="00193127">
        <w:rPr>
          <w:rFonts w:ascii="Arial" w:hAnsi="Arial"/>
          <w:sz w:val="24"/>
          <w:szCs w:val="24"/>
        </w:rPr>
        <w:t xml:space="preserve"> </w:t>
      </w:r>
    </w:p>
    <w:p w14:paraId="304214DA" w14:textId="66D9BB00" w:rsidR="00133F46" w:rsidRPr="002E410F" w:rsidRDefault="08DD1E8B" w:rsidP="08DD1E8B">
      <w:pPr>
        <w:spacing w:after="390" w:line="240" w:lineRule="auto"/>
        <w:rPr>
          <w:rFonts w:ascii="Arial" w:hAnsi="Arial"/>
          <w:sz w:val="24"/>
          <w:szCs w:val="24"/>
        </w:rPr>
      </w:pPr>
      <w:r w:rsidRPr="002E410F">
        <w:rPr>
          <w:rFonts w:ascii="Arial" w:hAnsi="Arial"/>
          <w:sz w:val="24"/>
          <w:szCs w:val="24"/>
        </w:rPr>
        <w:lastRenderedPageBreak/>
        <w:t xml:space="preserve">It </w:t>
      </w:r>
      <w:r w:rsidR="00B813FA">
        <w:rPr>
          <w:rFonts w:ascii="Arial" w:hAnsi="Arial"/>
          <w:sz w:val="24"/>
          <w:szCs w:val="24"/>
        </w:rPr>
        <w:t xml:space="preserve">seems </w:t>
      </w:r>
      <w:r w:rsidRPr="002E410F">
        <w:rPr>
          <w:rFonts w:ascii="Arial" w:hAnsi="Arial"/>
          <w:sz w:val="24"/>
          <w:szCs w:val="24"/>
        </w:rPr>
        <w:t>that the macro-economic justification for austerity was conflated with a political objective to shrink the state (strategic surplus bias)</w:t>
      </w:r>
      <w:r w:rsidR="00B813FA">
        <w:rPr>
          <w:rFonts w:ascii="Arial" w:hAnsi="Arial"/>
          <w:sz w:val="24"/>
          <w:szCs w:val="24"/>
        </w:rPr>
        <w:t>.</w:t>
      </w:r>
    </w:p>
    <w:p w14:paraId="2663BB59" w14:textId="158D0DAC" w:rsidR="00133F46" w:rsidRPr="002E410F" w:rsidRDefault="08DD1E8B" w:rsidP="08DD1E8B">
      <w:pPr>
        <w:spacing w:after="390" w:line="240" w:lineRule="auto"/>
        <w:rPr>
          <w:rFonts w:ascii="Arial" w:hAnsi="Arial"/>
          <w:sz w:val="24"/>
          <w:szCs w:val="24"/>
        </w:rPr>
      </w:pPr>
      <w:r w:rsidRPr="002E410F">
        <w:rPr>
          <w:rFonts w:ascii="Arial" w:hAnsi="Arial"/>
          <w:sz w:val="24"/>
          <w:szCs w:val="24"/>
        </w:rPr>
        <w:t xml:space="preserve">A brief interlude occurred prior to </w:t>
      </w:r>
      <w:r w:rsidR="00B813FA">
        <w:rPr>
          <w:rFonts w:ascii="Arial" w:hAnsi="Arial"/>
          <w:sz w:val="24"/>
          <w:szCs w:val="24"/>
        </w:rPr>
        <w:t>the 2015</w:t>
      </w:r>
      <w:r w:rsidRPr="002E410F">
        <w:rPr>
          <w:rFonts w:ascii="Arial" w:hAnsi="Arial"/>
          <w:sz w:val="24"/>
          <w:szCs w:val="24"/>
        </w:rPr>
        <w:t xml:space="preserve"> election, when investment was temporarily increased</w:t>
      </w:r>
      <w:r w:rsidR="00727A6B" w:rsidRPr="002E410F">
        <w:rPr>
          <w:rFonts w:ascii="Arial" w:hAnsi="Arial"/>
          <w:sz w:val="24"/>
          <w:szCs w:val="24"/>
        </w:rPr>
        <w:t>,</w:t>
      </w:r>
      <w:r w:rsidRPr="002E410F">
        <w:rPr>
          <w:rFonts w:ascii="Arial" w:hAnsi="Arial"/>
          <w:sz w:val="24"/>
          <w:szCs w:val="24"/>
        </w:rPr>
        <w:t xml:space="preserve"> as part of a classic electoral cycle </w:t>
      </w:r>
      <w:r w:rsidR="0008280D" w:rsidRPr="002E410F">
        <w:rPr>
          <w:rFonts w:ascii="Arial" w:hAnsi="Arial"/>
          <w:sz w:val="24"/>
          <w:szCs w:val="24"/>
        </w:rPr>
        <w:t>response</w:t>
      </w:r>
      <w:r w:rsidRPr="002E410F">
        <w:rPr>
          <w:rFonts w:ascii="Arial" w:hAnsi="Arial"/>
          <w:sz w:val="24"/>
          <w:szCs w:val="24"/>
        </w:rPr>
        <w:t>: strategic surplus bias interrupted by a short-lived tactical return to deficit bias.</w:t>
      </w:r>
    </w:p>
    <w:p w14:paraId="2C4CBD97" w14:textId="0D0460AC" w:rsidR="00133F46" w:rsidRPr="002E410F" w:rsidRDefault="08DD1E8B" w:rsidP="08DD1E8B">
      <w:pPr>
        <w:spacing w:after="390" w:line="240" w:lineRule="auto"/>
        <w:rPr>
          <w:rFonts w:ascii="Arial" w:hAnsi="Arial"/>
          <w:sz w:val="24"/>
          <w:szCs w:val="24"/>
        </w:rPr>
      </w:pPr>
      <w:r w:rsidRPr="002E410F">
        <w:rPr>
          <w:rFonts w:ascii="Arial" w:hAnsi="Arial"/>
          <w:sz w:val="24"/>
          <w:szCs w:val="24"/>
        </w:rPr>
        <w:t>The Brexit referendum result in June 2016 further unsettled the economy</w:t>
      </w:r>
      <w:r w:rsidR="008438D9">
        <w:rPr>
          <w:rFonts w:ascii="Arial" w:hAnsi="Arial"/>
          <w:sz w:val="24"/>
          <w:szCs w:val="24"/>
        </w:rPr>
        <w:t xml:space="preserve"> and </w:t>
      </w:r>
      <w:r w:rsidRPr="002E410F">
        <w:rPr>
          <w:rFonts w:ascii="Arial" w:hAnsi="Arial"/>
          <w:sz w:val="24"/>
          <w:szCs w:val="24"/>
        </w:rPr>
        <w:t>led directly to the replacement of David Cameron as Prime Minister by Theresa May</w:t>
      </w:r>
      <w:r w:rsidR="00B90A36">
        <w:rPr>
          <w:rFonts w:ascii="Arial" w:hAnsi="Arial"/>
          <w:sz w:val="24"/>
          <w:szCs w:val="24"/>
        </w:rPr>
        <w:t>.</w:t>
      </w:r>
      <w:r w:rsidRPr="002E410F">
        <w:rPr>
          <w:rFonts w:ascii="Arial" w:hAnsi="Arial"/>
          <w:sz w:val="24"/>
          <w:szCs w:val="24"/>
        </w:rPr>
        <w:t xml:space="preserve"> </w:t>
      </w:r>
    </w:p>
    <w:p w14:paraId="31AD6731" w14:textId="40578350" w:rsidR="00133F46" w:rsidRPr="002E410F" w:rsidRDefault="08DD1E8B" w:rsidP="08DD1E8B">
      <w:pPr>
        <w:spacing w:after="390" w:line="240" w:lineRule="auto"/>
        <w:rPr>
          <w:rFonts w:ascii="Arial" w:hAnsi="Arial"/>
          <w:sz w:val="24"/>
          <w:szCs w:val="24"/>
        </w:rPr>
      </w:pPr>
      <w:r w:rsidRPr="002E410F">
        <w:rPr>
          <w:rFonts w:ascii="Arial" w:hAnsi="Arial"/>
          <w:sz w:val="24"/>
          <w:szCs w:val="24"/>
        </w:rPr>
        <w:t xml:space="preserve">The </w:t>
      </w:r>
      <w:r w:rsidR="0008280D" w:rsidRPr="002E410F">
        <w:rPr>
          <w:rFonts w:ascii="Arial" w:hAnsi="Arial"/>
          <w:sz w:val="24"/>
          <w:szCs w:val="24"/>
        </w:rPr>
        <w:t xml:space="preserve">fiscal </w:t>
      </w:r>
      <w:r w:rsidRPr="002E410F">
        <w:rPr>
          <w:rFonts w:ascii="Arial" w:hAnsi="Arial"/>
          <w:sz w:val="24"/>
          <w:szCs w:val="24"/>
        </w:rPr>
        <w:t xml:space="preserve">austerity tone was softened, but not definitively. It was only when the 2017 election result reduced the Conservatives to a minority government that </w:t>
      </w:r>
      <w:proofErr w:type="spellStart"/>
      <w:r w:rsidRPr="002E410F">
        <w:rPr>
          <w:rFonts w:ascii="Arial" w:hAnsi="Arial"/>
          <w:sz w:val="24"/>
          <w:szCs w:val="24"/>
        </w:rPr>
        <w:t>realisation</w:t>
      </w:r>
      <w:proofErr w:type="spellEnd"/>
      <w:r w:rsidRPr="002E410F">
        <w:rPr>
          <w:rFonts w:ascii="Arial" w:hAnsi="Arial"/>
          <w:sz w:val="24"/>
          <w:szCs w:val="24"/>
        </w:rPr>
        <w:t xml:space="preserve"> </w:t>
      </w:r>
      <w:r w:rsidR="00831053">
        <w:rPr>
          <w:rFonts w:ascii="Arial" w:hAnsi="Arial"/>
          <w:sz w:val="24"/>
          <w:szCs w:val="24"/>
        </w:rPr>
        <w:t xml:space="preserve">of </w:t>
      </w:r>
      <w:r w:rsidRPr="002E410F">
        <w:rPr>
          <w:rFonts w:ascii="Arial" w:hAnsi="Arial"/>
          <w:sz w:val="24"/>
          <w:szCs w:val="24"/>
        </w:rPr>
        <w:t xml:space="preserve">the contribution </w:t>
      </w:r>
      <w:r w:rsidR="0008280D" w:rsidRPr="002E410F">
        <w:rPr>
          <w:rFonts w:ascii="Arial" w:hAnsi="Arial"/>
          <w:sz w:val="24"/>
          <w:szCs w:val="24"/>
        </w:rPr>
        <w:t>that the</w:t>
      </w:r>
      <w:r w:rsidRPr="002E410F">
        <w:rPr>
          <w:rFonts w:ascii="Arial" w:hAnsi="Arial"/>
          <w:sz w:val="24"/>
          <w:szCs w:val="24"/>
        </w:rPr>
        <w:t xml:space="preserve"> post-2010 fiscal austerity </w:t>
      </w:r>
      <w:r w:rsidR="0008280D" w:rsidRPr="002E410F">
        <w:rPr>
          <w:rFonts w:ascii="Arial" w:hAnsi="Arial"/>
          <w:sz w:val="24"/>
          <w:szCs w:val="24"/>
        </w:rPr>
        <w:t xml:space="preserve">had made </w:t>
      </w:r>
      <w:r w:rsidRPr="002E410F">
        <w:rPr>
          <w:rFonts w:ascii="Arial" w:hAnsi="Arial"/>
          <w:sz w:val="24"/>
          <w:szCs w:val="24"/>
        </w:rPr>
        <w:t>to the prolonged period of recession and stagnation that the UK suffered since the GFC</w:t>
      </w:r>
      <w:r w:rsidR="008438D9">
        <w:rPr>
          <w:rFonts w:ascii="Arial" w:hAnsi="Arial"/>
          <w:sz w:val="24"/>
          <w:szCs w:val="24"/>
        </w:rPr>
        <w:t>,</w:t>
      </w:r>
      <w:r w:rsidR="005F269B">
        <w:rPr>
          <w:rFonts w:ascii="Arial" w:hAnsi="Arial"/>
          <w:sz w:val="24"/>
          <w:szCs w:val="24"/>
        </w:rPr>
        <w:t xml:space="preserve"> seemed to receive a more cogent hearing within government. </w:t>
      </w:r>
      <w:r w:rsidRPr="002E410F">
        <w:rPr>
          <w:rFonts w:ascii="Arial" w:hAnsi="Arial"/>
          <w:sz w:val="24"/>
          <w:szCs w:val="24"/>
        </w:rPr>
        <w:t xml:space="preserve"> </w:t>
      </w:r>
    </w:p>
    <w:p w14:paraId="59628704" w14:textId="099F56EE" w:rsidR="00133F46" w:rsidRPr="002E410F" w:rsidRDefault="08DD1E8B" w:rsidP="08DD1E8B">
      <w:pPr>
        <w:spacing w:after="390" w:line="240" w:lineRule="auto"/>
        <w:rPr>
          <w:rFonts w:ascii="Arial" w:hAnsi="Arial"/>
          <w:sz w:val="24"/>
          <w:szCs w:val="24"/>
        </w:rPr>
      </w:pPr>
      <w:r w:rsidRPr="002E410F">
        <w:rPr>
          <w:rFonts w:ascii="Arial" w:hAnsi="Arial"/>
          <w:sz w:val="24"/>
          <w:szCs w:val="24"/>
        </w:rPr>
        <w:t>Public investment levels were maintained and even increased in both the Phil</w:t>
      </w:r>
      <w:r w:rsidR="00943C9A" w:rsidRPr="002E410F">
        <w:rPr>
          <w:rFonts w:ascii="Arial" w:hAnsi="Arial"/>
          <w:sz w:val="24"/>
          <w:szCs w:val="24"/>
        </w:rPr>
        <w:t>lip</w:t>
      </w:r>
      <w:r w:rsidRPr="002E410F">
        <w:rPr>
          <w:rFonts w:ascii="Arial" w:hAnsi="Arial"/>
          <w:sz w:val="24"/>
          <w:szCs w:val="24"/>
        </w:rPr>
        <w:t xml:space="preserve"> Hammond 2017 budgets, at least in future planned levels – which do not necessarily, or often, translate into realised investment – but not to the levels required by the macro economy, as evidenced by the paring of the Trans-Pennine line. </w:t>
      </w:r>
    </w:p>
    <w:p w14:paraId="5B75C411" w14:textId="538CE933" w:rsidR="0008280D" w:rsidRPr="002E410F" w:rsidRDefault="08DD1E8B" w:rsidP="08DD1E8B">
      <w:pPr>
        <w:spacing w:after="390" w:line="240" w:lineRule="auto"/>
        <w:rPr>
          <w:rFonts w:ascii="Arial" w:hAnsi="Arial"/>
          <w:sz w:val="24"/>
          <w:szCs w:val="24"/>
        </w:rPr>
      </w:pPr>
      <w:r w:rsidRPr="002E410F">
        <w:rPr>
          <w:rFonts w:ascii="Arial" w:hAnsi="Arial"/>
          <w:sz w:val="24"/>
          <w:szCs w:val="24"/>
        </w:rPr>
        <w:t xml:space="preserve">The achievement of </w:t>
      </w:r>
      <w:r w:rsidR="00566352">
        <w:rPr>
          <w:rFonts w:ascii="Arial" w:hAnsi="Arial"/>
          <w:sz w:val="24"/>
          <w:szCs w:val="24"/>
        </w:rPr>
        <w:t xml:space="preserve">currently </w:t>
      </w:r>
      <w:r w:rsidRPr="002E410F">
        <w:rPr>
          <w:rFonts w:ascii="Arial" w:hAnsi="Arial"/>
          <w:sz w:val="24"/>
          <w:szCs w:val="24"/>
        </w:rPr>
        <w:t>badly</w:t>
      </w:r>
      <w:r w:rsidR="000E1D93">
        <w:rPr>
          <w:rFonts w:ascii="Arial" w:hAnsi="Arial"/>
          <w:sz w:val="24"/>
          <w:szCs w:val="24"/>
        </w:rPr>
        <w:t xml:space="preserve"> </w:t>
      </w:r>
      <w:r w:rsidRPr="002E410F">
        <w:rPr>
          <w:rFonts w:ascii="Arial" w:hAnsi="Arial"/>
          <w:sz w:val="24"/>
          <w:szCs w:val="24"/>
        </w:rPr>
        <w:t xml:space="preserve">specified fiscal rules that continue to discriminate against investment spending </w:t>
      </w:r>
      <w:r w:rsidR="00566352">
        <w:rPr>
          <w:rFonts w:ascii="Arial" w:hAnsi="Arial"/>
          <w:sz w:val="24"/>
          <w:szCs w:val="24"/>
        </w:rPr>
        <w:t>is lar</w:t>
      </w:r>
      <w:r w:rsidR="001E5B7C">
        <w:rPr>
          <w:rFonts w:ascii="Arial" w:hAnsi="Arial"/>
          <w:sz w:val="24"/>
          <w:szCs w:val="24"/>
        </w:rPr>
        <w:t xml:space="preserve">gely </w:t>
      </w:r>
      <w:r w:rsidR="00566352">
        <w:rPr>
          <w:rFonts w:ascii="Arial" w:hAnsi="Arial"/>
          <w:sz w:val="24"/>
          <w:szCs w:val="24"/>
        </w:rPr>
        <w:t xml:space="preserve">contingent </w:t>
      </w:r>
      <w:r w:rsidRPr="002E410F">
        <w:rPr>
          <w:rFonts w:ascii="Arial" w:hAnsi="Arial"/>
          <w:sz w:val="24"/>
          <w:szCs w:val="24"/>
        </w:rPr>
        <w:t xml:space="preserve">on the performance of the macro-economy, bound to be buffeted by Brexit-related developments. </w:t>
      </w:r>
    </w:p>
    <w:p w14:paraId="07B2C334" w14:textId="77777777" w:rsidR="0008280D" w:rsidRPr="002E410F" w:rsidRDefault="08DD1E8B" w:rsidP="08DD1E8B">
      <w:pPr>
        <w:spacing w:after="390" w:line="240" w:lineRule="auto"/>
        <w:rPr>
          <w:rFonts w:ascii="Arial" w:hAnsi="Arial"/>
          <w:sz w:val="24"/>
          <w:szCs w:val="24"/>
        </w:rPr>
      </w:pPr>
      <w:r w:rsidRPr="002E410F">
        <w:rPr>
          <w:rFonts w:ascii="Arial" w:hAnsi="Arial"/>
          <w:sz w:val="24"/>
          <w:szCs w:val="24"/>
        </w:rPr>
        <w:t xml:space="preserve">The operation and impact </w:t>
      </w:r>
      <w:r w:rsidR="0008280D" w:rsidRPr="002E410F">
        <w:rPr>
          <w:rFonts w:ascii="Arial" w:hAnsi="Arial"/>
          <w:sz w:val="24"/>
          <w:szCs w:val="24"/>
        </w:rPr>
        <w:t xml:space="preserve">of these rules that still discriminate against investment </w:t>
      </w:r>
      <w:r w:rsidRPr="002E410F">
        <w:rPr>
          <w:rFonts w:ascii="Arial" w:hAnsi="Arial"/>
          <w:sz w:val="24"/>
          <w:szCs w:val="24"/>
        </w:rPr>
        <w:t>will continue to hinder the selection and progress of productive public investment projects</w:t>
      </w:r>
      <w:r w:rsidR="0008280D" w:rsidRPr="002E410F">
        <w:rPr>
          <w:rFonts w:ascii="Arial" w:hAnsi="Arial"/>
          <w:sz w:val="24"/>
          <w:szCs w:val="24"/>
        </w:rPr>
        <w:t>.</w:t>
      </w:r>
    </w:p>
    <w:p w14:paraId="5CD37F7F" w14:textId="59280DB1" w:rsidR="60D33CC6" w:rsidRDefault="0008280D" w:rsidP="08DD1E8B">
      <w:pPr>
        <w:spacing w:after="390" w:line="240" w:lineRule="auto"/>
        <w:rPr>
          <w:rFonts w:ascii="Arial" w:hAnsi="Arial"/>
          <w:sz w:val="24"/>
          <w:szCs w:val="24"/>
        </w:rPr>
      </w:pPr>
      <w:r w:rsidRPr="002E410F">
        <w:rPr>
          <w:rFonts w:ascii="Arial" w:hAnsi="Arial"/>
          <w:sz w:val="24"/>
          <w:szCs w:val="24"/>
        </w:rPr>
        <w:t>E</w:t>
      </w:r>
      <w:r w:rsidR="08DD1E8B" w:rsidRPr="002E410F">
        <w:rPr>
          <w:rFonts w:ascii="Arial" w:hAnsi="Arial"/>
          <w:sz w:val="24"/>
          <w:szCs w:val="24"/>
        </w:rPr>
        <w:t>fforts to raise the growth rate and to reverse the underlying downward secular productivity trend of the economy, and to hence make the public finances sustainable</w:t>
      </w:r>
      <w:r w:rsidRPr="002E410F">
        <w:rPr>
          <w:rFonts w:ascii="Arial" w:hAnsi="Arial"/>
          <w:sz w:val="24"/>
          <w:szCs w:val="24"/>
        </w:rPr>
        <w:t xml:space="preserve">, will </w:t>
      </w:r>
      <w:r w:rsidR="00F378C8" w:rsidRPr="002E410F">
        <w:rPr>
          <w:rFonts w:ascii="Arial" w:hAnsi="Arial"/>
          <w:sz w:val="24"/>
          <w:szCs w:val="24"/>
        </w:rPr>
        <w:t xml:space="preserve">consequently </w:t>
      </w:r>
      <w:r w:rsidRPr="002E410F">
        <w:rPr>
          <w:rFonts w:ascii="Arial" w:hAnsi="Arial"/>
          <w:sz w:val="24"/>
          <w:szCs w:val="24"/>
        </w:rPr>
        <w:t>continue to be undermined.</w:t>
      </w:r>
    </w:p>
    <w:p w14:paraId="256F2376" w14:textId="783FDD6D" w:rsidR="001969D7" w:rsidRPr="001969D7" w:rsidRDefault="001969D7" w:rsidP="08DD1E8B">
      <w:pPr>
        <w:spacing w:after="390" w:line="240" w:lineRule="auto"/>
        <w:rPr>
          <w:rFonts w:ascii="Arial" w:hAnsi="Arial"/>
          <w:sz w:val="24"/>
          <w:szCs w:val="24"/>
          <w:u w:val="single"/>
        </w:rPr>
      </w:pPr>
      <w:r w:rsidRPr="001969D7">
        <w:rPr>
          <w:rFonts w:ascii="Arial" w:hAnsi="Arial"/>
          <w:sz w:val="24"/>
          <w:szCs w:val="24"/>
          <w:u w:val="single"/>
        </w:rPr>
        <w:t>The need for fiscal rule reform</w:t>
      </w:r>
    </w:p>
    <w:p w14:paraId="1830C6A1" w14:textId="77777777" w:rsidR="007424E0" w:rsidRDefault="005B3F7F" w:rsidP="005B3F7F">
      <w:pPr>
        <w:rPr>
          <w:rFonts w:ascii="Arial" w:hAnsi="Arial"/>
          <w:sz w:val="24"/>
          <w:szCs w:val="24"/>
        </w:rPr>
      </w:pPr>
      <w:r w:rsidRPr="002E410F">
        <w:rPr>
          <w:rFonts w:ascii="Arial" w:hAnsi="Arial"/>
          <w:sz w:val="24"/>
          <w:szCs w:val="24"/>
        </w:rPr>
        <w:t xml:space="preserve">The budgetary cash cost of providing a </w:t>
      </w:r>
      <w:r w:rsidR="004B35A7" w:rsidRPr="002E410F">
        <w:rPr>
          <w:rFonts w:ascii="Arial" w:hAnsi="Arial"/>
          <w:sz w:val="24"/>
          <w:szCs w:val="24"/>
        </w:rPr>
        <w:t>publicly provided</w:t>
      </w:r>
      <w:r w:rsidRPr="002E410F">
        <w:rPr>
          <w:rFonts w:ascii="Arial" w:hAnsi="Arial"/>
          <w:sz w:val="24"/>
          <w:szCs w:val="24"/>
        </w:rPr>
        <w:t xml:space="preserve"> asset is front-loaded during its inception, construction, and mobilisation phases, and thus concentrated in the short-term</w:t>
      </w:r>
      <w:r w:rsidR="007424E0">
        <w:rPr>
          <w:rFonts w:ascii="Arial" w:hAnsi="Arial"/>
          <w:sz w:val="24"/>
          <w:szCs w:val="24"/>
        </w:rPr>
        <w:t>.</w:t>
      </w:r>
    </w:p>
    <w:p w14:paraId="4D90769C" w14:textId="0511C6C7" w:rsidR="005B3F7F" w:rsidRPr="002E410F" w:rsidRDefault="007424E0" w:rsidP="005B3F7F">
      <w:pPr>
        <w:rPr>
          <w:rFonts w:ascii="Arial" w:hAnsi="Arial"/>
          <w:sz w:val="24"/>
          <w:szCs w:val="24"/>
        </w:rPr>
      </w:pPr>
      <w:r>
        <w:rPr>
          <w:rFonts w:ascii="Arial" w:hAnsi="Arial"/>
          <w:sz w:val="24"/>
          <w:szCs w:val="24"/>
        </w:rPr>
        <w:t>This makes</w:t>
      </w:r>
      <w:r w:rsidR="005B3F7F" w:rsidRPr="002E410F">
        <w:rPr>
          <w:rFonts w:ascii="Arial" w:hAnsi="Arial"/>
          <w:sz w:val="24"/>
          <w:szCs w:val="24"/>
        </w:rPr>
        <w:t xml:space="preserve"> investment projects the first target of public spending cuts during periods of fiscal stress or austerity.  </w:t>
      </w:r>
    </w:p>
    <w:p w14:paraId="3A23172A" w14:textId="77777777" w:rsidR="005B3F7F" w:rsidRPr="002E410F" w:rsidRDefault="005B3F7F" w:rsidP="005B3F7F">
      <w:pPr>
        <w:rPr>
          <w:rFonts w:ascii="Arial" w:hAnsi="Arial"/>
          <w:sz w:val="24"/>
          <w:szCs w:val="24"/>
        </w:rPr>
      </w:pPr>
      <w:r w:rsidRPr="002E410F">
        <w:rPr>
          <w:rFonts w:ascii="Arial" w:hAnsi="Arial"/>
          <w:sz w:val="24"/>
          <w:szCs w:val="24"/>
        </w:rPr>
        <w:lastRenderedPageBreak/>
        <w:t xml:space="preserve">This tendency for investment to bear the disproportionate brunt of public expenditure cuts during periods of fiscal stress, reflects that Investment projects can be postponed at often far less political cost than is the case with current programmes. </w:t>
      </w:r>
    </w:p>
    <w:p w14:paraId="6F3C6D96" w14:textId="1B30F008" w:rsidR="005B3F7F" w:rsidRPr="002E410F" w:rsidRDefault="005B3F7F" w:rsidP="005B3F7F">
      <w:pPr>
        <w:rPr>
          <w:rFonts w:ascii="Arial" w:hAnsi="Arial"/>
          <w:sz w:val="24"/>
          <w:szCs w:val="24"/>
        </w:rPr>
      </w:pPr>
      <w:r w:rsidRPr="002E410F">
        <w:rPr>
          <w:rFonts w:ascii="Arial" w:hAnsi="Arial"/>
          <w:sz w:val="24"/>
          <w:szCs w:val="24"/>
        </w:rPr>
        <w:t>Their postponement or cancellation score greater savings to near-term, rather than long-term budgets – an outcome particularly helpful to governments seeking to secure headline public expenditure savings, or poorly specified fiscal rule targets</w:t>
      </w:r>
      <w:r w:rsidR="009671BC">
        <w:rPr>
          <w:rFonts w:ascii="Arial" w:hAnsi="Arial"/>
          <w:sz w:val="24"/>
          <w:szCs w:val="24"/>
        </w:rPr>
        <w:t>,</w:t>
      </w:r>
      <w:r w:rsidRPr="002E410F">
        <w:rPr>
          <w:rFonts w:ascii="Arial" w:hAnsi="Arial"/>
          <w:sz w:val="24"/>
          <w:szCs w:val="24"/>
        </w:rPr>
        <w:t xml:space="preserve"> for that matter.</w:t>
      </w:r>
    </w:p>
    <w:p w14:paraId="4AA907D2" w14:textId="38AF378C" w:rsidR="0008280D" w:rsidRPr="002E410F" w:rsidRDefault="005B3F7F" w:rsidP="00F068C7">
      <w:pPr>
        <w:rPr>
          <w:rFonts w:ascii="Arial" w:hAnsi="Arial"/>
          <w:sz w:val="24"/>
          <w:szCs w:val="24"/>
        </w:rPr>
      </w:pPr>
      <w:r w:rsidRPr="002E410F">
        <w:rPr>
          <w:rFonts w:ascii="Arial" w:hAnsi="Arial"/>
          <w:sz w:val="24"/>
          <w:szCs w:val="24"/>
        </w:rPr>
        <w:t xml:space="preserve">The other side of that coin is that the benefits of investment projects are spread over their entire life, often rising over time. A cash-based public expenditure system fails to register these future benefits.  </w:t>
      </w:r>
      <w:r w:rsidR="0008280D" w:rsidRPr="002E410F">
        <w:rPr>
          <w:rFonts w:ascii="Arial" w:hAnsi="Arial"/>
          <w:sz w:val="24"/>
          <w:szCs w:val="24"/>
        </w:rPr>
        <w:br w:type="page"/>
      </w:r>
    </w:p>
    <w:p w14:paraId="4B3F0F1B" w14:textId="1DEA9944" w:rsidR="001B196E" w:rsidRPr="000849EB" w:rsidRDefault="0017364E" w:rsidP="000849EB">
      <w:pPr>
        <w:pStyle w:val="ListParagraph"/>
        <w:numPr>
          <w:ilvl w:val="0"/>
          <w:numId w:val="19"/>
        </w:numPr>
        <w:spacing w:after="390" w:line="240" w:lineRule="auto"/>
        <w:rPr>
          <w:rFonts w:ascii="Arial" w:eastAsia="Times New Roman" w:hAnsi="Arial" w:cs="Times New Roman"/>
          <w:b/>
          <w:bCs/>
          <w:color w:val="666666"/>
          <w:sz w:val="24"/>
          <w:szCs w:val="24"/>
        </w:rPr>
      </w:pPr>
      <w:r w:rsidRPr="000849EB">
        <w:rPr>
          <w:rFonts w:ascii="Arial" w:eastAsia="Times New Roman" w:hAnsi="Arial" w:cs="Times New Roman"/>
          <w:b/>
          <w:bCs/>
          <w:color w:val="666666"/>
          <w:sz w:val="24"/>
          <w:szCs w:val="24"/>
        </w:rPr>
        <w:lastRenderedPageBreak/>
        <w:t xml:space="preserve">Reforming </w:t>
      </w:r>
      <w:r w:rsidR="0059682C" w:rsidRPr="000849EB">
        <w:rPr>
          <w:rFonts w:ascii="Arial" w:eastAsia="Times New Roman" w:hAnsi="Arial" w:cs="Times New Roman"/>
          <w:b/>
          <w:bCs/>
          <w:color w:val="666666"/>
          <w:sz w:val="24"/>
          <w:szCs w:val="24"/>
        </w:rPr>
        <w:t xml:space="preserve">the </w:t>
      </w:r>
      <w:r w:rsidR="00A06A84" w:rsidRPr="000849EB">
        <w:rPr>
          <w:rFonts w:ascii="Arial" w:eastAsia="Times New Roman" w:hAnsi="Arial" w:cs="Times New Roman"/>
          <w:b/>
          <w:bCs/>
          <w:color w:val="666666"/>
          <w:sz w:val="24"/>
          <w:szCs w:val="24"/>
        </w:rPr>
        <w:t>i</w:t>
      </w:r>
      <w:r w:rsidR="001B196E" w:rsidRPr="000849EB">
        <w:rPr>
          <w:rFonts w:ascii="Arial" w:eastAsia="Times New Roman" w:hAnsi="Arial" w:cs="Times New Roman"/>
          <w:b/>
          <w:bCs/>
          <w:color w:val="666666"/>
          <w:sz w:val="24"/>
          <w:szCs w:val="24"/>
        </w:rPr>
        <w:t xml:space="preserve">nstitutional </w:t>
      </w:r>
      <w:r w:rsidR="00F60960" w:rsidRPr="000849EB">
        <w:rPr>
          <w:rFonts w:ascii="Arial" w:eastAsia="Times New Roman" w:hAnsi="Arial" w:cs="Times New Roman"/>
          <w:b/>
          <w:bCs/>
          <w:color w:val="666666"/>
          <w:sz w:val="24"/>
          <w:szCs w:val="24"/>
        </w:rPr>
        <w:t>environment</w:t>
      </w:r>
    </w:p>
    <w:p w14:paraId="432CD055" w14:textId="2DA7D160" w:rsidR="00DE489E" w:rsidRPr="00DE489E" w:rsidRDefault="00DE489E" w:rsidP="00DE489E">
      <w:pPr>
        <w:spacing w:after="390" w:line="240" w:lineRule="auto"/>
        <w:rPr>
          <w:rFonts w:ascii="Arial" w:eastAsia="Times New Roman" w:hAnsi="Arial" w:cs="Times New Roman"/>
          <w:b/>
          <w:bCs/>
          <w:color w:val="666666"/>
          <w:sz w:val="24"/>
          <w:szCs w:val="24"/>
        </w:rPr>
      </w:pPr>
      <w:r w:rsidRPr="006A7A69">
        <w:rPr>
          <w:rFonts w:ascii="Arial" w:hAnsi="Arial"/>
          <w:sz w:val="24"/>
          <w:szCs w:val="24"/>
        </w:rPr>
        <w:t>The establishment of the Infrastructure Projects Authority (IPA) in 2016, and the National Infrastructure Commission (NIC) in 2017,</w:t>
      </w:r>
      <w:r w:rsidR="00983756">
        <w:rPr>
          <w:rFonts w:ascii="Arial" w:hAnsi="Arial"/>
          <w:sz w:val="24"/>
          <w:szCs w:val="24"/>
        </w:rPr>
        <w:t xml:space="preserve"> marks a potential transformation in the </w:t>
      </w:r>
      <w:r w:rsidR="00CA217C">
        <w:rPr>
          <w:rFonts w:ascii="Arial" w:hAnsi="Arial"/>
          <w:sz w:val="24"/>
          <w:szCs w:val="24"/>
        </w:rPr>
        <w:t xml:space="preserve">institutional environment for infrastructural provision. </w:t>
      </w:r>
    </w:p>
    <w:p w14:paraId="2FF47D7A" w14:textId="1C5241C2" w:rsidR="001B123D" w:rsidRPr="00CA217C" w:rsidRDefault="00091DA9" w:rsidP="00FC3F4B">
      <w:pPr>
        <w:spacing w:after="390" w:line="240" w:lineRule="auto"/>
        <w:rPr>
          <w:rFonts w:ascii="Arial" w:hAnsi="Arial"/>
          <w:sz w:val="24"/>
          <w:szCs w:val="24"/>
          <w:u w:val="single"/>
        </w:rPr>
      </w:pPr>
      <w:r w:rsidRPr="00CA217C">
        <w:rPr>
          <w:rFonts w:ascii="Arial" w:hAnsi="Arial"/>
          <w:sz w:val="24"/>
          <w:szCs w:val="24"/>
          <w:u w:val="single"/>
        </w:rPr>
        <w:t>Infrastructure Projects</w:t>
      </w:r>
      <w:r w:rsidR="001B123D" w:rsidRPr="00CA217C">
        <w:rPr>
          <w:rFonts w:ascii="Arial" w:hAnsi="Arial"/>
          <w:sz w:val="24"/>
          <w:szCs w:val="24"/>
          <w:u w:val="single"/>
        </w:rPr>
        <w:t xml:space="preserve"> Authority (IPA)</w:t>
      </w:r>
    </w:p>
    <w:p w14:paraId="75041FC1" w14:textId="20D0D8ED" w:rsidR="00494514" w:rsidRPr="00CA217C" w:rsidRDefault="001B123D" w:rsidP="001B123D">
      <w:pPr>
        <w:spacing w:after="390" w:line="240" w:lineRule="auto"/>
        <w:rPr>
          <w:rFonts w:ascii="Arial" w:hAnsi="Arial"/>
          <w:sz w:val="24"/>
          <w:szCs w:val="24"/>
        </w:rPr>
      </w:pPr>
      <w:r w:rsidRPr="00CA217C">
        <w:rPr>
          <w:rFonts w:ascii="Arial" w:hAnsi="Arial"/>
          <w:sz w:val="24"/>
          <w:szCs w:val="24"/>
        </w:rPr>
        <w:t xml:space="preserve">The Infrastructure Projects Authority (IPA) </w:t>
      </w:r>
      <w:r w:rsidR="00832883" w:rsidRPr="00CA217C">
        <w:rPr>
          <w:rFonts w:ascii="Arial" w:hAnsi="Arial"/>
          <w:sz w:val="24"/>
          <w:szCs w:val="24"/>
        </w:rPr>
        <w:t xml:space="preserve">was established in January 2016 </w:t>
      </w:r>
      <w:r w:rsidR="00694B0F" w:rsidRPr="00CA217C">
        <w:rPr>
          <w:rFonts w:ascii="Arial" w:hAnsi="Arial"/>
          <w:sz w:val="24"/>
          <w:szCs w:val="24"/>
        </w:rPr>
        <w:t xml:space="preserve">with the merger of Infrastructure UK </w:t>
      </w:r>
      <w:r w:rsidR="004F6B5D" w:rsidRPr="00CA217C">
        <w:rPr>
          <w:rFonts w:ascii="Arial" w:hAnsi="Arial"/>
          <w:sz w:val="24"/>
          <w:szCs w:val="24"/>
        </w:rPr>
        <w:t>and the Major Projects Authorit</w:t>
      </w:r>
      <w:r w:rsidR="00593F98">
        <w:rPr>
          <w:rFonts w:ascii="Arial" w:hAnsi="Arial"/>
          <w:sz w:val="24"/>
          <w:szCs w:val="24"/>
        </w:rPr>
        <w:t>y,</w:t>
      </w:r>
      <w:r w:rsidR="00494514" w:rsidRPr="00CA217C">
        <w:rPr>
          <w:rFonts w:ascii="Arial" w:hAnsi="Arial"/>
          <w:sz w:val="24"/>
          <w:szCs w:val="24"/>
        </w:rPr>
        <w:t xml:space="preserve"> as the </w:t>
      </w:r>
      <w:r w:rsidR="00A31A6D" w:rsidRPr="00CA217C">
        <w:rPr>
          <w:rFonts w:ascii="Arial" w:hAnsi="Arial"/>
          <w:sz w:val="24"/>
          <w:szCs w:val="24"/>
        </w:rPr>
        <w:t>government’s ‘centre of excellence’ fo</w:t>
      </w:r>
      <w:r w:rsidR="00694B0F" w:rsidRPr="00CA217C">
        <w:rPr>
          <w:rFonts w:ascii="Arial" w:hAnsi="Arial"/>
          <w:sz w:val="24"/>
          <w:szCs w:val="24"/>
        </w:rPr>
        <w:t>r</w:t>
      </w:r>
      <w:r w:rsidR="00494514" w:rsidRPr="00CA217C">
        <w:rPr>
          <w:rFonts w:ascii="Arial" w:hAnsi="Arial"/>
          <w:sz w:val="24"/>
          <w:szCs w:val="24"/>
        </w:rPr>
        <w:t xml:space="preserve"> infrastructural project delivery.</w:t>
      </w:r>
    </w:p>
    <w:p w14:paraId="1F2E415A" w14:textId="615CF430" w:rsidR="001B123D" w:rsidRPr="00CA217C" w:rsidRDefault="004D3AE0" w:rsidP="001B123D">
      <w:pPr>
        <w:spacing w:after="390" w:line="240" w:lineRule="auto"/>
        <w:rPr>
          <w:rFonts w:ascii="Arial" w:hAnsi="Arial"/>
          <w:sz w:val="24"/>
          <w:szCs w:val="24"/>
        </w:rPr>
      </w:pPr>
      <w:r w:rsidRPr="00CA217C">
        <w:rPr>
          <w:rFonts w:ascii="Arial" w:hAnsi="Arial"/>
          <w:sz w:val="24"/>
          <w:szCs w:val="24"/>
        </w:rPr>
        <w:t>Its</w:t>
      </w:r>
      <w:r w:rsidR="00694B0F" w:rsidRPr="00CA217C">
        <w:rPr>
          <w:rFonts w:ascii="Arial" w:hAnsi="Arial"/>
          <w:sz w:val="24"/>
          <w:szCs w:val="24"/>
        </w:rPr>
        <w:t xml:space="preserve"> purpose </w:t>
      </w:r>
      <w:r w:rsidRPr="00CA217C">
        <w:rPr>
          <w:rFonts w:ascii="Arial" w:hAnsi="Arial"/>
          <w:sz w:val="24"/>
          <w:szCs w:val="24"/>
        </w:rPr>
        <w:t xml:space="preserve">is to </w:t>
      </w:r>
      <w:r w:rsidR="00694B0F" w:rsidRPr="00CA217C">
        <w:rPr>
          <w:rFonts w:ascii="Arial" w:hAnsi="Arial"/>
          <w:sz w:val="24"/>
          <w:szCs w:val="24"/>
        </w:rPr>
        <w:t>improv</w:t>
      </w:r>
      <w:r w:rsidRPr="00CA217C">
        <w:rPr>
          <w:rFonts w:ascii="Arial" w:hAnsi="Arial"/>
          <w:sz w:val="24"/>
          <w:szCs w:val="24"/>
        </w:rPr>
        <w:t>e</w:t>
      </w:r>
      <w:r w:rsidR="00694B0F" w:rsidRPr="00CA217C">
        <w:rPr>
          <w:rFonts w:ascii="Arial" w:hAnsi="Arial"/>
          <w:sz w:val="24"/>
          <w:szCs w:val="24"/>
        </w:rPr>
        <w:t xml:space="preserve"> the delivery of infrastructure and major projects</w:t>
      </w:r>
      <w:r w:rsidRPr="00CA217C">
        <w:rPr>
          <w:rFonts w:ascii="Arial" w:hAnsi="Arial"/>
          <w:sz w:val="24"/>
          <w:szCs w:val="24"/>
        </w:rPr>
        <w:t xml:space="preserve"> in line with government </w:t>
      </w:r>
      <w:r w:rsidR="00AD52AB" w:rsidRPr="00CA217C">
        <w:rPr>
          <w:rFonts w:ascii="Arial" w:hAnsi="Arial"/>
          <w:sz w:val="24"/>
          <w:szCs w:val="24"/>
        </w:rPr>
        <w:t>priorities</w:t>
      </w:r>
      <w:r w:rsidR="00593F98">
        <w:rPr>
          <w:rFonts w:ascii="Arial" w:hAnsi="Arial"/>
          <w:sz w:val="24"/>
          <w:szCs w:val="24"/>
        </w:rPr>
        <w:t>,</w:t>
      </w:r>
      <w:r w:rsidR="00AD52AB" w:rsidRPr="00CA217C">
        <w:rPr>
          <w:rFonts w:ascii="Arial" w:hAnsi="Arial"/>
          <w:sz w:val="24"/>
          <w:szCs w:val="24"/>
        </w:rPr>
        <w:t xml:space="preserve"> through taking responsibility </w:t>
      </w:r>
      <w:r w:rsidR="00E03D5B" w:rsidRPr="00CA217C">
        <w:rPr>
          <w:rFonts w:ascii="Arial" w:hAnsi="Arial"/>
          <w:sz w:val="24"/>
          <w:szCs w:val="24"/>
        </w:rPr>
        <w:t xml:space="preserve">for the overall project delivery system – or ‘ecosystem’ </w:t>
      </w:r>
      <w:r w:rsidR="006760CD" w:rsidRPr="00CA217C">
        <w:rPr>
          <w:rFonts w:ascii="Arial" w:hAnsi="Arial"/>
          <w:sz w:val="24"/>
          <w:szCs w:val="24"/>
        </w:rPr>
        <w:t>–</w:t>
      </w:r>
      <w:r w:rsidR="00CF5704" w:rsidRPr="00CA217C">
        <w:rPr>
          <w:rFonts w:ascii="Arial" w:hAnsi="Arial"/>
          <w:sz w:val="24"/>
          <w:szCs w:val="24"/>
        </w:rPr>
        <w:t xml:space="preserve"> across </w:t>
      </w:r>
      <w:r w:rsidR="006760CD" w:rsidRPr="00CA217C">
        <w:rPr>
          <w:rFonts w:ascii="Arial" w:hAnsi="Arial"/>
          <w:sz w:val="24"/>
          <w:szCs w:val="24"/>
        </w:rPr>
        <w:t>projects, processes and people.</w:t>
      </w:r>
    </w:p>
    <w:p w14:paraId="35FF3421" w14:textId="6EBE97C2" w:rsidR="000F3E00" w:rsidRPr="00CA217C" w:rsidRDefault="00627C42" w:rsidP="001B123D">
      <w:pPr>
        <w:spacing w:after="390" w:line="240" w:lineRule="auto"/>
        <w:rPr>
          <w:rFonts w:ascii="Arial" w:hAnsi="Arial"/>
          <w:sz w:val="24"/>
          <w:szCs w:val="24"/>
        </w:rPr>
      </w:pPr>
      <w:r w:rsidRPr="00CA217C">
        <w:rPr>
          <w:rFonts w:ascii="Arial" w:hAnsi="Arial"/>
          <w:sz w:val="24"/>
          <w:szCs w:val="24"/>
        </w:rPr>
        <w:t>In terms of governance, t</w:t>
      </w:r>
      <w:r w:rsidR="00522EEB" w:rsidRPr="00CA217C">
        <w:rPr>
          <w:rFonts w:ascii="Arial" w:hAnsi="Arial"/>
          <w:sz w:val="24"/>
          <w:szCs w:val="24"/>
        </w:rPr>
        <w:t>he IPA</w:t>
      </w:r>
      <w:r w:rsidR="000F3E00" w:rsidRPr="00CA217C">
        <w:rPr>
          <w:rFonts w:ascii="Arial" w:hAnsi="Arial"/>
          <w:sz w:val="24"/>
          <w:szCs w:val="24"/>
        </w:rPr>
        <w:t xml:space="preserve"> is a government agency that reports jointly to the </w:t>
      </w:r>
      <w:r w:rsidR="00CF127D" w:rsidRPr="00CA217C">
        <w:rPr>
          <w:rFonts w:ascii="Arial" w:hAnsi="Arial"/>
          <w:sz w:val="24"/>
          <w:szCs w:val="24"/>
        </w:rPr>
        <w:t>Treasury and Cabinet Office. It is funded from departmental budgets</w:t>
      </w:r>
      <w:r w:rsidR="00A012A3" w:rsidRPr="00CA217C">
        <w:rPr>
          <w:rFonts w:ascii="Arial" w:hAnsi="Arial"/>
          <w:sz w:val="24"/>
          <w:szCs w:val="24"/>
        </w:rPr>
        <w:t xml:space="preserve">, is staffed by 150 civil servants headed by a Chief </w:t>
      </w:r>
      <w:r w:rsidR="00B15A03" w:rsidRPr="00CA217C">
        <w:rPr>
          <w:rFonts w:ascii="Arial" w:hAnsi="Arial"/>
          <w:sz w:val="24"/>
          <w:szCs w:val="24"/>
        </w:rPr>
        <w:t>E</w:t>
      </w:r>
      <w:r w:rsidR="00A012A3" w:rsidRPr="00CA217C">
        <w:rPr>
          <w:rFonts w:ascii="Arial" w:hAnsi="Arial"/>
          <w:sz w:val="24"/>
          <w:szCs w:val="24"/>
        </w:rPr>
        <w:t>x</w:t>
      </w:r>
      <w:r w:rsidR="00B15A03" w:rsidRPr="00CA217C">
        <w:rPr>
          <w:rFonts w:ascii="Arial" w:hAnsi="Arial"/>
          <w:sz w:val="24"/>
          <w:szCs w:val="24"/>
        </w:rPr>
        <w:t>ecutive</w:t>
      </w:r>
      <w:r w:rsidR="001B49AD">
        <w:rPr>
          <w:rFonts w:ascii="Arial" w:hAnsi="Arial"/>
          <w:sz w:val="24"/>
          <w:szCs w:val="24"/>
        </w:rPr>
        <w:t>.</w:t>
      </w:r>
      <w:r w:rsidR="00411357" w:rsidRPr="00CA217C">
        <w:rPr>
          <w:rFonts w:ascii="Arial" w:hAnsi="Arial"/>
          <w:sz w:val="24"/>
          <w:szCs w:val="24"/>
        </w:rPr>
        <w:t xml:space="preserve"> Ministers retain direct responsibility for decision-making.</w:t>
      </w:r>
    </w:p>
    <w:p w14:paraId="213AC750" w14:textId="5A5BBCBB" w:rsidR="008E0EAF" w:rsidRPr="00CA217C" w:rsidRDefault="00627C42" w:rsidP="008E0EAF">
      <w:pPr>
        <w:spacing w:after="390" w:line="240" w:lineRule="auto"/>
        <w:rPr>
          <w:rFonts w:ascii="Arial" w:hAnsi="Arial"/>
          <w:sz w:val="24"/>
          <w:szCs w:val="24"/>
        </w:rPr>
      </w:pPr>
      <w:r w:rsidRPr="00CA217C">
        <w:rPr>
          <w:rFonts w:ascii="Arial" w:hAnsi="Arial"/>
          <w:sz w:val="24"/>
          <w:szCs w:val="24"/>
        </w:rPr>
        <w:t>Its c</w:t>
      </w:r>
      <w:r w:rsidR="00D52645" w:rsidRPr="00CA217C">
        <w:rPr>
          <w:rFonts w:ascii="Arial" w:hAnsi="Arial"/>
          <w:sz w:val="24"/>
          <w:szCs w:val="24"/>
        </w:rPr>
        <w:t xml:space="preserve">ore Teams include </w:t>
      </w:r>
      <w:r w:rsidR="00933F3A" w:rsidRPr="00CA217C">
        <w:rPr>
          <w:rFonts w:ascii="Arial" w:hAnsi="Arial"/>
          <w:sz w:val="24"/>
          <w:szCs w:val="24"/>
        </w:rPr>
        <w:t>experts in infrastructure, project delivery, and project finance</w:t>
      </w:r>
      <w:r w:rsidR="0038622B" w:rsidRPr="00CA217C">
        <w:rPr>
          <w:rFonts w:ascii="Arial" w:hAnsi="Arial"/>
          <w:sz w:val="24"/>
          <w:szCs w:val="24"/>
        </w:rPr>
        <w:t>, p</w:t>
      </w:r>
      <w:r w:rsidR="008E0EAF" w:rsidRPr="00CA217C">
        <w:rPr>
          <w:rFonts w:ascii="Arial" w:hAnsi="Arial"/>
          <w:sz w:val="24"/>
          <w:szCs w:val="24"/>
        </w:rPr>
        <w:t>r</w:t>
      </w:r>
      <w:r w:rsidR="00DF5800" w:rsidRPr="00CA217C">
        <w:rPr>
          <w:rFonts w:ascii="Arial" w:hAnsi="Arial"/>
          <w:sz w:val="24"/>
          <w:szCs w:val="24"/>
        </w:rPr>
        <w:t>i</w:t>
      </w:r>
      <w:r w:rsidR="008E0EAF" w:rsidRPr="00CA217C">
        <w:rPr>
          <w:rFonts w:ascii="Arial" w:hAnsi="Arial"/>
          <w:sz w:val="24"/>
          <w:szCs w:val="24"/>
        </w:rPr>
        <w:t>oritising four key activities</w:t>
      </w:r>
      <w:r w:rsidR="00DF5800" w:rsidRPr="00CA217C">
        <w:rPr>
          <w:rFonts w:ascii="Arial" w:hAnsi="Arial"/>
          <w:sz w:val="24"/>
          <w:szCs w:val="24"/>
        </w:rPr>
        <w:t>:</w:t>
      </w:r>
    </w:p>
    <w:p w14:paraId="66FD0F64" w14:textId="4C630844" w:rsidR="008E0EAF" w:rsidRPr="00CA217C" w:rsidRDefault="008E0EAF" w:rsidP="00DF5800">
      <w:pPr>
        <w:pStyle w:val="ListParagraph"/>
        <w:numPr>
          <w:ilvl w:val="0"/>
          <w:numId w:val="10"/>
        </w:numPr>
        <w:spacing w:after="390" w:line="240" w:lineRule="auto"/>
        <w:rPr>
          <w:rFonts w:ascii="Arial" w:hAnsi="Arial"/>
          <w:sz w:val="24"/>
          <w:szCs w:val="24"/>
        </w:rPr>
      </w:pPr>
      <w:r w:rsidRPr="00CA217C">
        <w:rPr>
          <w:rFonts w:ascii="Arial" w:hAnsi="Arial"/>
          <w:sz w:val="24"/>
          <w:szCs w:val="24"/>
        </w:rPr>
        <w:t>setting up projects for success by influencing the policy environment, deploying our expertise as early as possible and helping projects access resources</w:t>
      </w:r>
      <w:r w:rsidR="00151E4D" w:rsidRPr="00CA217C">
        <w:rPr>
          <w:rFonts w:ascii="Arial" w:hAnsi="Arial"/>
          <w:sz w:val="24"/>
          <w:szCs w:val="24"/>
        </w:rPr>
        <w:t>;</w:t>
      </w:r>
    </w:p>
    <w:p w14:paraId="15446C89" w14:textId="1ED42A2F" w:rsidR="008E0EAF" w:rsidRPr="00CA217C" w:rsidRDefault="008E0EAF" w:rsidP="00DF5800">
      <w:pPr>
        <w:pStyle w:val="ListParagraph"/>
        <w:numPr>
          <w:ilvl w:val="0"/>
          <w:numId w:val="10"/>
        </w:numPr>
        <w:spacing w:after="390" w:line="240" w:lineRule="auto"/>
        <w:rPr>
          <w:rFonts w:ascii="Arial" w:hAnsi="Arial"/>
          <w:sz w:val="24"/>
          <w:szCs w:val="24"/>
        </w:rPr>
      </w:pPr>
      <w:r w:rsidRPr="00CA217C">
        <w:rPr>
          <w:rFonts w:ascii="Arial" w:hAnsi="Arial"/>
          <w:sz w:val="24"/>
          <w:szCs w:val="24"/>
        </w:rPr>
        <w:t>creating market confidence by providing foresight and transparency on the future pipeline of projects and establishing the right financial policies and products to support private investment</w:t>
      </w:r>
      <w:r w:rsidR="00151E4D" w:rsidRPr="00CA217C">
        <w:rPr>
          <w:rFonts w:ascii="Arial" w:hAnsi="Arial"/>
          <w:sz w:val="24"/>
          <w:szCs w:val="24"/>
        </w:rPr>
        <w:t>;</w:t>
      </w:r>
    </w:p>
    <w:p w14:paraId="7D048B3F" w14:textId="0E410594" w:rsidR="008E0EAF" w:rsidRPr="00CA217C" w:rsidRDefault="008E0EAF" w:rsidP="00DF5800">
      <w:pPr>
        <w:pStyle w:val="ListParagraph"/>
        <w:numPr>
          <w:ilvl w:val="0"/>
          <w:numId w:val="10"/>
        </w:numPr>
        <w:spacing w:after="390" w:line="240" w:lineRule="auto"/>
        <w:rPr>
          <w:rFonts w:ascii="Arial" w:hAnsi="Arial"/>
          <w:sz w:val="24"/>
          <w:szCs w:val="24"/>
        </w:rPr>
      </w:pPr>
      <w:r w:rsidRPr="00CA217C">
        <w:rPr>
          <w:rFonts w:ascii="Arial" w:hAnsi="Arial"/>
          <w:sz w:val="24"/>
          <w:szCs w:val="24"/>
        </w:rPr>
        <w:t>building delivery capability by providing world class leadership programmes, career pathways and leading the project delivery and project finance professions</w:t>
      </w:r>
      <w:r w:rsidR="00151E4D" w:rsidRPr="00CA217C">
        <w:rPr>
          <w:rFonts w:ascii="Arial" w:hAnsi="Arial"/>
          <w:sz w:val="24"/>
          <w:szCs w:val="24"/>
        </w:rPr>
        <w:t>;</w:t>
      </w:r>
    </w:p>
    <w:p w14:paraId="445B0B8C" w14:textId="6A47EAF4" w:rsidR="008E0EAF" w:rsidRPr="00CA217C" w:rsidRDefault="008E0EAF" w:rsidP="00DF5800">
      <w:pPr>
        <w:pStyle w:val="ListParagraph"/>
        <w:numPr>
          <w:ilvl w:val="0"/>
          <w:numId w:val="10"/>
        </w:numPr>
        <w:spacing w:after="390" w:line="240" w:lineRule="auto"/>
        <w:rPr>
          <w:rFonts w:ascii="Arial" w:hAnsi="Arial"/>
          <w:sz w:val="24"/>
          <w:szCs w:val="24"/>
        </w:rPr>
      </w:pPr>
      <w:r w:rsidRPr="00CA217C">
        <w:rPr>
          <w:rFonts w:ascii="Arial" w:hAnsi="Arial"/>
          <w:sz w:val="24"/>
          <w:szCs w:val="24"/>
        </w:rPr>
        <w:t>measuring and improving performance of infrastructure and major projects over time, in order to help them deliver benefits for society and provide value for money</w:t>
      </w:r>
      <w:r w:rsidR="00DF5800" w:rsidRPr="00CA217C">
        <w:rPr>
          <w:rFonts w:ascii="Arial" w:hAnsi="Arial"/>
          <w:sz w:val="24"/>
          <w:szCs w:val="24"/>
        </w:rPr>
        <w:t>.</w:t>
      </w:r>
    </w:p>
    <w:p w14:paraId="00E0CE75" w14:textId="34D77B84" w:rsidR="007F64F2" w:rsidRPr="00CA217C" w:rsidRDefault="005D5BCA" w:rsidP="00EF7FAD">
      <w:pPr>
        <w:spacing w:after="390" w:line="240" w:lineRule="auto"/>
        <w:rPr>
          <w:rFonts w:ascii="Arial" w:hAnsi="Arial"/>
          <w:sz w:val="24"/>
          <w:szCs w:val="24"/>
        </w:rPr>
      </w:pPr>
      <w:r w:rsidRPr="00CA217C">
        <w:rPr>
          <w:rFonts w:ascii="Arial" w:hAnsi="Arial"/>
          <w:sz w:val="24"/>
          <w:szCs w:val="24"/>
        </w:rPr>
        <w:t>Outputs include</w:t>
      </w:r>
      <w:r w:rsidR="007F64F2" w:rsidRPr="00CA217C">
        <w:rPr>
          <w:rFonts w:ascii="Arial" w:hAnsi="Arial"/>
          <w:sz w:val="24"/>
          <w:szCs w:val="24"/>
        </w:rPr>
        <w:t>:</w:t>
      </w:r>
    </w:p>
    <w:p w14:paraId="70CFB922" w14:textId="546452A5" w:rsidR="00A5733E" w:rsidRPr="00CA217C" w:rsidRDefault="005D5BCA" w:rsidP="00A5733E">
      <w:pPr>
        <w:pStyle w:val="ListParagraph"/>
        <w:numPr>
          <w:ilvl w:val="0"/>
          <w:numId w:val="9"/>
        </w:numPr>
        <w:spacing w:after="390" w:line="240" w:lineRule="auto"/>
        <w:rPr>
          <w:rFonts w:ascii="Arial" w:hAnsi="Arial"/>
          <w:sz w:val="24"/>
          <w:szCs w:val="24"/>
        </w:rPr>
      </w:pPr>
      <w:r w:rsidRPr="00CA217C">
        <w:rPr>
          <w:rFonts w:ascii="Arial" w:hAnsi="Arial"/>
          <w:sz w:val="24"/>
          <w:szCs w:val="24"/>
        </w:rPr>
        <w:t>maintaining an annual pipel</w:t>
      </w:r>
      <w:r w:rsidR="004D2070" w:rsidRPr="00CA217C">
        <w:rPr>
          <w:rFonts w:ascii="Arial" w:hAnsi="Arial"/>
          <w:sz w:val="24"/>
          <w:szCs w:val="24"/>
        </w:rPr>
        <w:t xml:space="preserve">ine register of projects </w:t>
      </w:r>
      <w:r w:rsidR="00EF7FAD" w:rsidRPr="00CA217C">
        <w:rPr>
          <w:rFonts w:ascii="Arial" w:hAnsi="Arial"/>
          <w:sz w:val="24"/>
          <w:szCs w:val="24"/>
        </w:rPr>
        <w:t xml:space="preserve">including </w:t>
      </w:r>
      <w:r w:rsidR="004D2070" w:rsidRPr="00CA217C">
        <w:rPr>
          <w:rFonts w:ascii="Arial" w:hAnsi="Arial"/>
          <w:sz w:val="24"/>
          <w:szCs w:val="24"/>
        </w:rPr>
        <w:t xml:space="preserve">providing an </w:t>
      </w:r>
      <w:r w:rsidR="00C57947" w:rsidRPr="00CA217C">
        <w:rPr>
          <w:rFonts w:ascii="Arial" w:hAnsi="Arial"/>
          <w:sz w:val="24"/>
          <w:szCs w:val="24"/>
        </w:rPr>
        <w:t>annu</w:t>
      </w:r>
      <w:r w:rsidR="005D5B81" w:rsidRPr="00CA217C">
        <w:rPr>
          <w:rFonts w:ascii="Arial" w:hAnsi="Arial"/>
          <w:sz w:val="24"/>
          <w:szCs w:val="24"/>
        </w:rPr>
        <w:t>a</w:t>
      </w:r>
      <w:r w:rsidR="00C57947" w:rsidRPr="00CA217C">
        <w:rPr>
          <w:rFonts w:ascii="Arial" w:hAnsi="Arial"/>
          <w:sz w:val="24"/>
          <w:szCs w:val="24"/>
        </w:rPr>
        <w:t xml:space="preserve">l </w:t>
      </w:r>
      <w:r w:rsidR="004D2070" w:rsidRPr="00CA217C">
        <w:rPr>
          <w:rFonts w:ascii="Arial" w:hAnsi="Arial"/>
          <w:sz w:val="24"/>
          <w:szCs w:val="24"/>
        </w:rPr>
        <w:t>assurance rating</w:t>
      </w:r>
      <w:r w:rsidR="005D5B81" w:rsidRPr="00CA217C">
        <w:rPr>
          <w:rFonts w:ascii="Arial" w:hAnsi="Arial"/>
          <w:sz w:val="24"/>
          <w:szCs w:val="24"/>
        </w:rPr>
        <w:t xml:space="preserve"> for major projects</w:t>
      </w:r>
      <w:r w:rsidR="00CE38FC" w:rsidRPr="00CA217C">
        <w:rPr>
          <w:rFonts w:ascii="Arial" w:hAnsi="Arial"/>
          <w:sz w:val="24"/>
          <w:szCs w:val="24"/>
        </w:rPr>
        <w:t>,</w:t>
      </w:r>
      <w:r w:rsidR="006D25ED" w:rsidRPr="00CA217C">
        <w:rPr>
          <w:rFonts w:ascii="Arial" w:hAnsi="Arial"/>
          <w:sz w:val="24"/>
          <w:szCs w:val="24"/>
        </w:rPr>
        <w:t xml:space="preserve"> </w:t>
      </w:r>
      <w:r w:rsidR="00C67A8D">
        <w:rPr>
          <w:rFonts w:ascii="Arial" w:hAnsi="Arial"/>
          <w:sz w:val="24"/>
          <w:szCs w:val="24"/>
        </w:rPr>
        <w:t xml:space="preserve">with </w:t>
      </w:r>
      <w:r w:rsidR="006D25ED" w:rsidRPr="00CA217C">
        <w:rPr>
          <w:rFonts w:ascii="Arial" w:hAnsi="Arial"/>
          <w:sz w:val="24"/>
          <w:szCs w:val="24"/>
        </w:rPr>
        <w:t xml:space="preserve">its </w:t>
      </w:r>
      <w:hyperlink r:id="rId14" w:history="1">
        <w:r w:rsidR="006A5467" w:rsidRPr="0028385C">
          <w:rPr>
            <w:rFonts w:ascii="Arial" w:hAnsi="Arial"/>
            <w:sz w:val="24"/>
            <w:szCs w:val="24"/>
          </w:rPr>
          <w:t>2018 Pipeline</w:t>
        </w:r>
      </w:hyperlink>
      <w:r w:rsidR="00EF7FAD" w:rsidRPr="00CA217C">
        <w:rPr>
          <w:rFonts w:ascii="Arial" w:hAnsi="Arial"/>
          <w:sz w:val="24"/>
          <w:szCs w:val="24"/>
        </w:rPr>
        <w:t xml:space="preserve"> </w:t>
      </w:r>
      <w:r w:rsidR="009D788D" w:rsidRPr="00CA217C">
        <w:rPr>
          <w:rFonts w:ascii="Arial" w:hAnsi="Arial"/>
          <w:sz w:val="24"/>
          <w:szCs w:val="24"/>
        </w:rPr>
        <w:t xml:space="preserve">identifying </w:t>
      </w:r>
      <w:r w:rsidR="00EF7FAD" w:rsidRPr="00CA217C">
        <w:rPr>
          <w:rFonts w:ascii="Arial" w:hAnsi="Arial"/>
          <w:sz w:val="24"/>
          <w:szCs w:val="24"/>
        </w:rPr>
        <w:t>nearly 700 projects, programmes and other investments</w:t>
      </w:r>
      <w:r w:rsidR="003D389D" w:rsidRPr="00CA217C">
        <w:rPr>
          <w:rFonts w:ascii="Arial" w:hAnsi="Arial"/>
          <w:sz w:val="24"/>
          <w:szCs w:val="24"/>
        </w:rPr>
        <w:t xml:space="preserve"> of planned projects, programmes and other</w:t>
      </w:r>
      <w:r w:rsidR="002251BE" w:rsidRPr="00CA217C">
        <w:rPr>
          <w:rFonts w:ascii="Arial" w:hAnsi="Arial"/>
          <w:sz w:val="24"/>
          <w:szCs w:val="24"/>
        </w:rPr>
        <w:t xml:space="preserve"> </w:t>
      </w:r>
      <w:r w:rsidR="003D389D" w:rsidRPr="00CA217C">
        <w:rPr>
          <w:rFonts w:ascii="Arial" w:hAnsi="Arial"/>
          <w:sz w:val="24"/>
          <w:szCs w:val="24"/>
        </w:rPr>
        <w:t>investments in the pipeline, including around £190billion to be invested by 2020/21</w:t>
      </w:r>
      <w:r w:rsidR="002251BE" w:rsidRPr="00CA217C">
        <w:rPr>
          <w:rFonts w:ascii="Arial" w:hAnsi="Arial"/>
          <w:sz w:val="24"/>
          <w:szCs w:val="24"/>
        </w:rPr>
        <w:t xml:space="preserve">, </w:t>
      </w:r>
      <w:r w:rsidR="00EF7FAD" w:rsidRPr="00CA217C">
        <w:rPr>
          <w:rFonts w:ascii="Arial" w:hAnsi="Arial"/>
          <w:sz w:val="24"/>
          <w:szCs w:val="24"/>
        </w:rPr>
        <w:t>and a projection of infrastructure investment over the next 10 years of over</w:t>
      </w:r>
      <w:r w:rsidR="0048268B" w:rsidRPr="00CA217C">
        <w:rPr>
          <w:rFonts w:ascii="Arial" w:hAnsi="Arial"/>
          <w:sz w:val="24"/>
          <w:szCs w:val="24"/>
        </w:rPr>
        <w:t xml:space="preserve"> </w:t>
      </w:r>
      <w:r w:rsidR="00EF7FAD" w:rsidRPr="00CA217C">
        <w:rPr>
          <w:rFonts w:ascii="Arial" w:hAnsi="Arial"/>
          <w:sz w:val="24"/>
          <w:szCs w:val="24"/>
        </w:rPr>
        <w:t>£600 billion</w:t>
      </w:r>
      <w:r w:rsidR="00414F0C">
        <w:rPr>
          <w:rFonts w:ascii="Arial" w:hAnsi="Arial"/>
          <w:sz w:val="24"/>
          <w:szCs w:val="24"/>
        </w:rPr>
        <w:t xml:space="preserve"> (</w:t>
      </w:r>
      <w:r w:rsidR="00756647" w:rsidRPr="00CA217C">
        <w:rPr>
          <w:rFonts w:ascii="Arial" w:hAnsi="Arial"/>
          <w:sz w:val="24"/>
          <w:szCs w:val="24"/>
        </w:rPr>
        <w:t xml:space="preserve">noting </w:t>
      </w:r>
      <w:r w:rsidR="001042D4" w:rsidRPr="00CA217C">
        <w:rPr>
          <w:rFonts w:ascii="Arial" w:hAnsi="Arial"/>
          <w:sz w:val="24"/>
          <w:szCs w:val="24"/>
        </w:rPr>
        <w:t>that the</w:t>
      </w:r>
      <w:r w:rsidR="00756647" w:rsidRPr="00CA217C">
        <w:rPr>
          <w:rFonts w:ascii="Arial" w:hAnsi="Arial"/>
          <w:sz w:val="24"/>
          <w:szCs w:val="24"/>
        </w:rPr>
        <w:t xml:space="preserve"> pipeline does not represent a commitment to </w:t>
      </w:r>
      <w:r w:rsidR="00756647" w:rsidRPr="00CA217C">
        <w:rPr>
          <w:rFonts w:ascii="Arial" w:hAnsi="Arial"/>
          <w:sz w:val="24"/>
          <w:szCs w:val="24"/>
        </w:rPr>
        <w:lastRenderedPageBreak/>
        <w:t xml:space="preserve">undertake all the projects and </w:t>
      </w:r>
      <w:proofErr w:type="spellStart"/>
      <w:r w:rsidR="00756647" w:rsidRPr="00CA217C">
        <w:rPr>
          <w:rFonts w:ascii="Arial" w:hAnsi="Arial"/>
          <w:sz w:val="24"/>
          <w:szCs w:val="24"/>
        </w:rPr>
        <w:t>programmes</w:t>
      </w:r>
      <w:proofErr w:type="spellEnd"/>
      <w:r w:rsidR="00756647" w:rsidRPr="00CA217C">
        <w:rPr>
          <w:rFonts w:ascii="Arial" w:hAnsi="Arial"/>
          <w:sz w:val="24"/>
          <w:szCs w:val="24"/>
        </w:rPr>
        <w:t xml:space="preserve"> shown</w:t>
      </w:r>
      <w:r w:rsidR="00414F0C">
        <w:rPr>
          <w:rFonts w:ascii="Arial" w:hAnsi="Arial"/>
          <w:sz w:val="24"/>
          <w:szCs w:val="24"/>
        </w:rPr>
        <w:t>)</w:t>
      </w:r>
      <w:r w:rsidR="00756647" w:rsidRPr="00CA217C">
        <w:rPr>
          <w:rFonts w:ascii="Arial" w:hAnsi="Arial"/>
          <w:sz w:val="24"/>
          <w:szCs w:val="24"/>
        </w:rPr>
        <w:t>. In privately funded sectors, the decision to go ahead with individual projects will be determined by the market. The pipeline for regulated sectors is consistent with agreed regulatory settlements</w:t>
      </w:r>
      <w:r w:rsidR="001042D4" w:rsidRPr="00CA217C">
        <w:rPr>
          <w:rFonts w:ascii="Arial" w:hAnsi="Arial"/>
          <w:sz w:val="24"/>
          <w:szCs w:val="24"/>
        </w:rPr>
        <w:t>;</w:t>
      </w:r>
    </w:p>
    <w:p w14:paraId="0B58D7A3" w14:textId="77777777" w:rsidR="00A42650" w:rsidRPr="00CA217C" w:rsidRDefault="00CE38FC" w:rsidP="00A5733E">
      <w:pPr>
        <w:pStyle w:val="ListParagraph"/>
        <w:numPr>
          <w:ilvl w:val="0"/>
          <w:numId w:val="9"/>
        </w:numPr>
        <w:spacing w:after="390" w:line="240" w:lineRule="auto"/>
        <w:rPr>
          <w:rFonts w:ascii="Arial" w:hAnsi="Arial"/>
          <w:sz w:val="24"/>
          <w:szCs w:val="24"/>
        </w:rPr>
      </w:pPr>
      <w:r w:rsidRPr="00CA217C">
        <w:rPr>
          <w:rFonts w:ascii="Arial" w:hAnsi="Arial"/>
          <w:sz w:val="24"/>
          <w:szCs w:val="24"/>
        </w:rPr>
        <w:t xml:space="preserve">undertaking </w:t>
      </w:r>
      <w:r w:rsidR="009A37D2" w:rsidRPr="00CA217C">
        <w:rPr>
          <w:rFonts w:ascii="Arial" w:hAnsi="Arial"/>
          <w:sz w:val="24"/>
          <w:szCs w:val="24"/>
        </w:rPr>
        <w:t xml:space="preserve">over 200 </w:t>
      </w:r>
      <w:r w:rsidRPr="00CA217C">
        <w:rPr>
          <w:rFonts w:ascii="Arial" w:hAnsi="Arial"/>
          <w:sz w:val="24"/>
          <w:szCs w:val="24"/>
        </w:rPr>
        <w:t>specific assurance review</w:t>
      </w:r>
      <w:r w:rsidR="008563AF" w:rsidRPr="00CA217C">
        <w:rPr>
          <w:rFonts w:ascii="Arial" w:hAnsi="Arial"/>
          <w:sz w:val="24"/>
          <w:szCs w:val="24"/>
        </w:rPr>
        <w:t xml:space="preserve">s </w:t>
      </w:r>
      <w:r w:rsidR="005D5B81" w:rsidRPr="00CA217C">
        <w:rPr>
          <w:rFonts w:ascii="Arial" w:hAnsi="Arial"/>
          <w:sz w:val="24"/>
          <w:szCs w:val="24"/>
        </w:rPr>
        <w:t xml:space="preserve">of projects </w:t>
      </w:r>
      <w:r w:rsidR="008563AF" w:rsidRPr="00CA217C">
        <w:rPr>
          <w:rFonts w:ascii="Arial" w:hAnsi="Arial"/>
          <w:sz w:val="24"/>
          <w:szCs w:val="24"/>
        </w:rPr>
        <w:t xml:space="preserve">linked to Treasury approvals of </w:t>
      </w:r>
      <w:r w:rsidR="00F95FBC" w:rsidRPr="00CA217C">
        <w:rPr>
          <w:rFonts w:ascii="Arial" w:hAnsi="Arial"/>
          <w:sz w:val="24"/>
          <w:szCs w:val="24"/>
        </w:rPr>
        <w:t>at</w:t>
      </w:r>
      <w:r w:rsidR="008563AF" w:rsidRPr="00CA217C">
        <w:rPr>
          <w:rFonts w:ascii="Arial" w:hAnsi="Arial"/>
          <w:sz w:val="24"/>
          <w:szCs w:val="24"/>
        </w:rPr>
        <w:t xml:space="preserve"> business case and </w:t>
      </w:r>
      <w:r w:rsidR="008F1F6A" w:rsidRPr="00CA217C">
        <w:rPr>
          <w:rFonts w:ascii="Arial" w:hAnsi="Arial"/>
          <w:sz w:val="24"/>
          <w:szCs w:val="24"/>
        </w:rPr>
        <w:t>other review point</w:t>
      </w:r>
      <w:r w:rsidR="00F95FBC" w:rsidRPr="00CA217C">
        <w:rPr>
          <w:rFonts w:ascii="Arial" w:hAnsi="Arial"/>
          <w:sz w:val="24"/>
          <w:szCs w:val="24"/>
        </w:rPr>
        <w:t xml:space="preserve"> stages</w:t>
      </w:r>
      <w:r w:rsidR="008F1F6A" w:rsidRPr="00CA217C">
        <w:rPr>
          <w:rFonts w:ascii="Arial" w:hAnsi="Arial"/>
          <w:sz w:val="24"/>
          <w:szCs w:val="24"/>
        </w:rPr>
        <w:t xml:space="preserve">, </w:t>
      </w:r>
    </w:p>
    <w:p w14:paraId="31060665" w14:textId="1F91304F" w:rsidR="00A42650" w:rsidRPr="00CA217C" w:rsidRDefault="00A42650" w:rsidP="00511DF3">
      <w:pPr>
        <w:pStyle w:val="ListParagraph"/>
        <w:numPr>
          <w:ilvl w:val="0"/>
          <w:numId w:val="9"/>
        </w:numPr>
        <w:spacing w:after="390" w:line="240" w:lineRule="auto"/>
        <w:rPr>
          <w:rFonts w:ascii="Arial" w:hAnsi="Arial"/>
          <w:sz w:val="24"/>
          <w:szCs w:val="24"/>
        </w:rPr>
      </w:pPr>
      <w:r w:rsidRPr="00CA217C">
        <w:rPr>
          <w:rFonts w:ascii="Arial" w:hAnsi="Arial"/>
          <w:sz w:val="24"/>
          <w:szCs w:val="24"/>
        </w:rPr>
        <w:t>issuing guarantees with a value of £1.7 billion, supporting £4 billion of</w:t>
      </w:r>
    </w:p>
    <w:p w14:paraId="5012A216" w14:textId="27C36B32" w:rsidR="0048268B" w:rsidRPr="00CA217C" w:rsidRDefault="00A42650" w:rsidP="005D0228">
      <w:pPr>
        <w:pStyle w:val="ListParagraph"/>
        <w:spacing w:after="390" w:line="240" w:lineRule="auto"/>
        <w:ind w:left="780"/>
        <w:rPr>
          <w:rFonts w:ascii="Arial" w:hAnsi="Arial"/>
          <w:sz w:val="24"/>
          <w:szCs w:val="24"/>
        </w:rPr>
      </w:pPr>
      <w:r w:rsidRPr="00CA217C">
        <w:rPr>
          <w:rFonts w:ascii="Arial" w:hAnsi="Arial"/>
          <w:sz w:val="24"/>
          <w:szCs w:val="24"/>
        </w:rPr>
        <w:t>investment in UK infrastructure</w:t>
      </w:r>
      <w:r w:rsidR="00414F0C">
        <w:rPr>
          <w:rFonts w:ascii="Arial" w:hAnsi="Arial"/>
          <w:sz w:val="24"/>
          <w:szCs w:val="24"/>
        </w:rPr>
        <w:t>,</w:t>
      </w:r>
      <w:r w:rsidRPr="00CA217C">
        <w:rPr>
          <w:rFonts w:ascii="Arial" w:hAnsi="Arial"/>
          <w:sz w:val="24"/>
          <w:szCs w:val="24"/>
        </w:rPr>
        <w:t xml:space="preserve"> </w:t>
      </w:r>
      <w:r w:rsidR="008F1F6A" w:rsidRPr="00CA217C">
        <w:rPr>
          <w:rFonts w:ascii="Arial" w:hAnsi="Arial"/>
          <w:sz w:val="24"/>
          <w:szCs w:val="24"/>
        </w:rPr>
        <w:t>and</w:t>
      </w:r>
      <w:r w:rsidR="00A5733E" w:rsidRPr="00CA217C">
        <w:rPr>
          <w:rFonts w:ascii="Arial" w:hAnsi="Arial"/>
          <w:sz w:val="24"/>
          <w:szCs w:val="24"/>
        </w:rPr>
        <w:t>;</w:t>
      </w:r>
    </w:p>
    <w:p w14:paraId="13E4DAE9" w14:textId="36F45F94" w:rsidR="00EB3FB8" w:rsidRPr="00CA217C" w:rsidRDefault="008F1F6A" w:rsidP="003A4858">
      <w:pPr>
        <w:pStyle w:val="ListParagraph"/>
        <w:numPr>
          <w:ilvl w:val="0"/>
          <w:numId w:val="9"/>
        </w:numPr>
        <w:spacing w:after="390" w:line="240" w:lineRule="auto"/>
        <w:rPr>
          <w:rFonts w:ascii="Arial" w:hAnsi="Arial"/>
          <w:sz w:val="24"/>
          <w:szCs w:val="24"/>
        </w:rPr>
      </w:pPr>
      <w:r w:rsidRPr="00CA217C">
        <w:rPr>
          <w:rFonts w:ascii="Arial" w:hAnsi="Arial"/>
          <w:sz w:val="24"/>
          <w:szCs w:val="24"/>
        </w:rPr>
        <w:t xml:space="preserve">providing training and upskilling </w:t>
      </w:r>
      <w:r w:rsidR="00EB3FB8" w:rsidRPr="00CA217C">
        <w:rPr>
          <w:rFonts w:ascii="Arial" w:hAnsi="Arial"/>
          <w:sz w:val="24"/>
          <w:szCs w:val="24"/>
        </w:rPr>
        <w:t>courses and accreditations for infrastructure professional</w:t>
      </w:r>
      <w:r w:rsidR="00D45100" w:rsidRPr="00CA217C">
        <w:rPr>
          <w:rFonts w:ascii="Arial" w:hAnsi="Arial"/>
          <w:sz w:val="24"/>
          <w:szCs w:val="24"/>
        </w:rPr>
        <w:t>, most notably</w:t>
      </w:r>
      <w:r w:rsidR="00B37A17" w:rsidRPr="00CA217C">
        <w:rPr>
          <w:rFonts w:ascii="Arial" w:hAnsi="Arial"/>
          <w:sz w:val="24"/>
          <w:szCs w:val="24"/>
        </w:rPr>
        <w:t xml:space="preserve"> through</w:t>
      </w:r>
      <w:r w:rsidR="00A004DD" w:rsidRPr="00CA217C">
        <w:rPr>
          <w:rFonts w:ascii="Arial" w:hAnsi="Arial"/>
          <w:sz w:val="24"/>
          <w:szCs w:val="24"/>
        </w:rPr>
        <w:t xml:space="preserve"> – in conjunction with the Oxford Said Business School</w:t>
      </w:r>
      <w:r w:rsidR="00B37A17" w:rsidRPr="00CA217C">
        <w:rPr>
          <w:rFonts w:ascii="Arial" w:hAnsi="Arial"/>
          <w:sz w:val="24"/>
          <w:szCs w:val="24"/>
        </w:rPr>
        <w:t xml:space="preserve"> – </w:t>
      </w:r>
      <w:r w:rsidR="00D45100" w:rsidRPr="00CA217C">
        <w:rPr>
          <w:rFonts w:ascii="Arial" w:hAnsi="Arial"/>
          <w:sz w:val="24"/>
          <w:szCs w:val="24"/>
        </w:rPr>
        <w:t xml:space="preserve">its </w:t>
      </w:r>
      <w:r w:rsidR="008975C1" w:rsidRPr="00CA217C">
        <w:rPr>
          <w:rFonts w:ascii="Arial" w:hAnsi="Arial"/>
          <w:sz w:val="24"/>
          <w:szCs w:val="24"/>
        </w:rPr>
        <w:t>Major Project</w:t>
      </w:r>
      <w:r w:rsidR="00D45100" w:rsidRPr="00CA217C">
        <w:rPr>
          <w:rFonts w:ascii="Arial" w:hAnsi="Arial"/>
          <w:sz w:val="24"/>
          <w:szCs w:val="24"/>
        </w:rPr>
        <w:t xml:space="preserve"> </w:t>
      </w:r>
      <w:r w:rsidR="008975C1" w:rsidRPr="00CA217C">
        <w:rPr>
          <w:rFonts w:ascii="Arial" w:hAnsi="Arial"/>
          <w:sz w:val="24"/>
          <w:szCs w:val="24"/>
        </w:rPr>
        <w:t>Leadership Academy (MPLA)</w:t>
      </w:r>
      <w:r w:rsidR="006E2E8D" w:rsidRPr="00CA217C">
        <w:rPr>
          <w:rFonts w:ascii="Arial" w:hAnsi="Arial"/>
          <w:sz w:val="24"/>
          <w:szCs w:val="24"/>
        </w:rPr>
        <w:t>, and the coordination of the intake of approximately 100 project delivery graduates</w:t>
      </w:r>
      <w:r w:rsidR="001B49AD">
        <w:rPr>
          <w:rFonts w:ascii="Arial" w:hAnsi="Arial"/>
          <w:sz w:val="24"/>
          <w:szCs w:val="24"/>
        </w:rPr>
        <w:t xml:space="preserve"> </w:t>
      </w:r>
      <w:r w:rsidR="006E2E8D" w:rsidRPr="00CA217C">
        <w:rPr>
          <w:rFonts w:ascii="Arial" w:hAnsi="Arial"/>
          <w:sz w:val="24"/>
          <w:szCs w:val="24"/>
        </w:rPr>
        <w:t>and apprentices each year</w:t>
      </w:r>
      <w:r w:rsidR="008975C1" w:rsidRPr="00CA217C">
        <w:rPr>
          <w:rFonts w:ascii="Arial" w:hAnsi="Arial"/>
          <w:sz w:val="24"/>
          <w:szCs w:val="24"/>
        </w:rPr>
        <w:t>.</w:t>
      </w:r>
    </w:p>
    <w:p w14:paraId="7EEF798E" w14:textId="710402CD" w:rsidR="00CF135B" w:rsidRPr="00CA217C" w:rsidRDefault="00CF135B" w:rsidP="00FC3F4B">
      <w:pPr>
        <w:spacing w:after="390" w:line="240" w:lineRule="auto"/>
        <w:rPr>
          <w:rFonts w:ascii="Arial" w:hAnsi="Arial"/>
          <w:sz w:val="24"/>
          <w:szCs w:val="24"/>
          <w:u w:val="single"/>
        </w:rPr>
      </w:pPr>
      <w:r w:rsidRPr="00CA217C">
        <w:rPr>
          <w:rFonts w:ascii="Arial" w:hAnsi="Arial"/>
          <w:sz w:val="24"/>
          <w:szCs w:val="24"/>
          <w:u w:val="single"/>
        </w:rPr>
        <w:t xml:space="preserve">The National Infrastructure Commission (NIC) </w:t>
      </w:r>
    </w:p>
    <w:p w14:paraId="72F26AFD" w14:textId="33953A6F" w:rsidR="00920C62" w:rsidRPr="00CA217C" w:rsidRDefault="00002C7B" w:rsidP="00FC3F4B">
      <w:pPr>
        <w:spacing w:after="390" w:line="240" w:lineRule="auto"/>
        <w:rPr>
          <w:rFonts w:ascii="Arial" w:hAnsi="Arial"/>
          <w:sz w:val="24"/>
          <w:szCs w:val="24"/>
        </w:rPr>
      </w:pPr>
      <w:r w:rsidRPr="00CA217C">
        <w:rPr>
          <w:rFonts w:ascii="Arial" w:hAnsi="Arial"/>
          <w:sz w:val="24"/>
          <w:szCs w:val="24"/>
        </w:rPr>
        <w:t>The National Infrastructure Commission (NIC) was established as an Executive Agency of HM Treasury in January 2017</w:t>
      </w:r>
      <w:r w:rsidR="00920C62" w:rsidRPr="00CA217C">
        <w:rPr>
          <w:rFonts w:ascii="Arial" w:hAnsi="Arial"/>
          <w:sz w:val="24"/>
          <w:szCs w:val="24"/>
        </w:rPr>
        <w:t>.</w:t>
      </w:r>
      <w:r w:rsidR="002B35AE" w:rsidRPr="00CA217C">
        <w:rPr>
          <w:rFonts w:ascii="Arial" w:hAnsi="Arial"/>
          <w:sz w:val="24"/>
          <w:szCs w:val="24"/>
        </w:rPr>
        <w:t xml:space="preserve"> It comprises seven Commissioners </w:t>
      </w:r>
      <w:r w:rsidR="0026538C" w:rsidRPr="00CA217C">
        <w:rPr>
          <w:rFonts w:ascii="Arial" w:hAnsi="Arial"/>
          <w:sz w:val="24"/>
          <w:szCs w:val="24"/>
        </w:rPr>
        <w:t>appointed by the government, chaired by Sir John Armitt</w:t>
      </w:r>
      <w:r w:rsidR="007659DA" w:rsidRPr="00CA217C">
        <w:rPr>
          <w:rFonts w:ascii="Arial" w:hAnsi="Arial"/>
          <w:sz w:val="24"/>
          <w:szCs w:val="24"/>
        </w:rPr>
        <w:t>, supported by an Oversight Board and a perma</w:t>
      </w:r>
      <w:r w:rsidR="006B71DD" w:rsidRPr="00CA217C">
        <w:rPr>
          <w:rFonts w:ascii="Arial" w:hAnsi="Arial"/>
          <w:sz w:val="24"/>
          <w:szCs w:val="24"/>
        </w:rPr>
        <w:t xml:space="preserve">nent staff of c.40, currently led by a career civil servant, Richard Graham. </w:t>
      </w:r>
    </w:p>
    <w:p w14:paraId="5AE05AE6" w14:textId="58AE4C0D" w:rsidR="00920C62" w:rsidRPr="00CA217C" w:rsidRDefault="00E652B0" w:rsidP="00FC3F4B">
      <w:pPr>
        <w:spacing w:after="390" w:line="240" w:lineRule="auto"/>
        <w:rPr>
          <w:rFonts w:ascii="Arial" w:hAnsi="Arial"/>
          <w:sz w:val="24"/>
          <w:szCs w:val="24"/>
        </w:rPr>
      </w:pPr>
      <w:r w:rsidRPr="00CA217C">
        <w:rPr>
          <w:rFonts w:ascii="Arial" w:hAnsi="Arial"/>
          <w:sz w:val="24"/>
          <w:szCs w:val="24"/>
        </w:rPr>
        <w:t xml:space="preserve">The </w:t>
      </w:r>
      <w:r w:rsidR="00AB6FC3" w:rsidRPr="00CA217C">
        <w:rPr>
          <w:rFonts w:ascii="Arial" w:hAnsi="Arial"/>
          <w:sz w:val="24"/>
          <w:szCs w:val="24"/>
        </w:rPr>
        <w:t xml:space="preserve">establishment </w:t>
      </w:r>
      <w:r w:rsidRPr="00CA217C">
        <w:rPr>
          <w:rFonts w:ascii="Arial" w:hAnsi="Arial"/>
          <w:sz w:val="24"/>
          <w:szCs w:val="24"/>
        </w:rPr>
        <w:t xml:space="preserve">of the NIC </w:t>
      </w:r>
      <w:r w:rsidR="00AB6FC3" w:rsidRPr="00CA217C">
        <w:rPr>
          <w:rFonts w:ascii="Arial" w:hAnsi="Arial"/>
          <w:sz w:val="24"/>
          <w:szCs w:val="24"/>
        </w:rPr>
        <w:t>was announced by the-t</w:t>
      </w:r>
      <w:r w:rsidR="00B872BE" w:rsidRPr="00CA217C">
        <w:rPr>
          <w:rFonts w:ascii="Arial" w:hAnsi="Arial"/>
          <w:sz w:val="24"/>
          <w:szCs w:val="24"/>
        </w:rPr>
        <w:t>hen chancellor, George Osborne</w:t>
      </w:r>
      <w:r w:rsidR="005D43AE" w:rsidRPr="00CA217C">
        <w:rPr>
          <w:rFonts w:ascii="Arial" w:hAnsi="Arial"/>
          <w:sz w:val="24"/>
          <w:szCs w:val="24"/>
        </w:rPr>
        <w:t xml:space="preserve">, to the Conservative party conference in October 2015, as response </w:t>
      </w:r>
      <w:r w:rsidR="00696BCD" w:rsidRPr="00CA217C">
        <w:rPr>
          <w:rFonts w:ascii="Arial" w:hAnsi="Arial"/>
          <w:sz w:val="24"/>
          <w:szCs w:val="24"/>
        </w:rPr>
        <w:t>to growing concern about the volume and quality of infrastructure investment</w:t>
      </w:r>
      <w:r w:rsidR="009A0FB4" w:rsidRPr="00CA217C">
        <w:rPr>
          <w:rFonts w:ascii="Arial" w:hAnsi="Arial"/>
          <w:sz w:val="24"/>
          <w:szCs w:val="24"/>
        </w:rPr>
        <w:t xml:space="preserve"> within the wider context of fiscal austerity. </w:t>
      </w:r>
    </w:p>
    <w:p w14:paraId="4FFF7A56" w14:textId="249B1138" w:rsidR="00575666" w:rsidRPr="00CA217C" w:rsidRDefault="002D0D18" w:rsidP="00A13021">
      <w:pPr>
        <w:spacing w:after="390" w:line="240" w:lineRule="auto"/>
        <w:rPr>
          <w:rFonts w:ascii="Arial" w:hAnsi="Arial"/>
          <w:sz w:val="24"/>
          <w:szCs w:val="24"/>
        </w:rPr>
      </w:pPr>
      <w:r w:rsidRPr="00CA217C">
        <w:rPr>
          <w:rFonts w:ascii="Arial" w:hAnsi="Arial"/>
          <w:sz w:val="24"/>
          <w:szCs w:val="24"/>
        </w:rPr>
        <w:t xml:space="preserve">It is thus </w:t>
      </w:r>
      <w:r w:rsidR="00E874EE" w:rsidRPr="00CA217C">
        <w:rPr>
          <w:rFonts w:ascii="Arial" w:hAnsi="Arial"/>
          <w:sz w:val="24"/>
          <w:szCs w:val="24"/>
        </w:rPr>
        <w:t>a</w:t>
      </w:r>
      <w:r w:rsidR="00002C7B" w:rsidRPr="00CA217C">
        <w:rPr>
          <w:rFonts w:ascii="Arial" w:hAnsi="Arial"/>
          <w:sz w:val="24"/>
          <w:szCs w:val="24"/>
        </w:rPr>
        <w:t xml:space="preserve"> relatively new </w:t>
      </w:r>
      <w:r w:rsidR="00E87ADF" w:rsidRPr="00CA217C">
        <w:rPr>
          <w:rFonts w:ascii="Arial" w:hAnsi="Arial"/>
          <w:sz w:val="24"/>
          <w:szCs w:val="24"/>
        </w:rPr>
        <w:t xml:space="preserve">body with no statutory independent remit. </w:t>
      </w:r>
      <w:r w:rsidRPr="00CA217C">
        <w:rPr>
          <w:rFonts w:ascii="Arial" w:hAnsi="Arial"/>
          <w:sz w:val="24"/>
          <w:szCs w:val="24"/>
        </w:rPr>
        <w:t xml:space="preserve">Instead its </w:t>
      </w:r>
      <w:hyperlink r:id="rId15" w:history="1">
        <w:r w:rsidR="00084C8B" w:rsidRPr="00CA217C">
          <w:rPr>
            <w:rFonts w:ascii="Arial" w:hAnsi="Arial"/>
            <w:sz w:val="24"/>
            <w:szCs w:val="24"/>
          </w:rPr>
          <w:t>Charter</w:t>
        </w:r>
      </w:hyperlink>
      <w:r w:rsidR="00DB0643" w:rsidRPr="00CA217C">
        <w:rPr>
          <w:rFonts w:ascii="Arial" w:hAnsi="Arial"/>
          <w:sz w:val="24"/>
          <w:szCs w:val="24"/>
        </w:rPr>
        <w:t xml:space="preserve"> </w:t>
      </w:r>
      <w:r w:rsidR="00084C8B" w:rsidRPr="00CA217C">
        <w:rPr>
          <w:rFonts w:ascii="Arial" w:hAnsi="Arial"/>
          <w:sz w:val="24"/>
          <w:szCs w:val="24"/>
        </w:rPr>
        <w:t xml:space="preserve"> </w:t>
      </w:r>
      <w:r w:rsidR="00680C85" w:rsidRPr="00CA217C">
        <w:rPr>
          <w:rFonts w:ascii="Arial" w:hAnsi="Arial"/>
          <w:sz w:val="24"/>
          <w:szCs w:val="24"/>
        </w:rPr>
        <w:t xml:space="preserve"> </w:t>
      </w:r>
      <w:r w:rsidR="000C7972" w:rsidRPr="00CA217C">
        <w:rPr>
          <w:rFonts w:ascii="Arial" w:hAnsi="Arial"/>
          <w:sz w:val="24"/>
          <w:szCs w:val="24"/>
        </w:rPr>
        <w:t xml:space="preserve">from </w:t>
      </w:r>
      <w:r w:rsidRPr="00CA217C">
        <w:rPr>
          <w:rFonts w:ascii="Arial" w:hAnsi="Arial"/>
          <w:sz w:val="24"/>
          <w:szCs w:val="24"/>
        </w:rPr>
        <w:t xml:space="preserve">the Treasury </w:t>
      </w:r>
      <w:r w:rsidR="00C93494" w:rsidRPr="00CA217C">
        <w:rPr>
          <w:rFonts w:ascii="Arial" w:hAnsi="Arial"/>
          <w:sz w:val="24"/>
          <w:szCs w:val="24"/>
        </w:rPr>
        <w:t xml:space="preserve">requires </w:t>
      </w:r>
      <w:r w:rsidR="00680C85" w:rsidRPr="00CA217C">
        <w:rPr>
          <w:rFonts w:ascii="Arial" w:hAnsi="Arial"/>
          <w:sz w:val="24"/>
          <w:szCs w:val="24"/>
        </w:rPr>
        <w:t xml:space="preserve">the NIC </w:t>
      </w:r>
      <w:r w:rsidR="007504FD" w:rsidRPr="00CA217C">
        <w:rPr>
          <w:rFonts w:ascii="Arial" w:hAnsi="Arial"/>
          <w:sz w:val="24"/>
          <w:szCs w:val="24"/>
        </w:rPr>
        <w:t>to s</w:t>
      </w:r>
      <w:r w:rsidR="00012363" w:rsidRPr="00CA217C">
        <w:rPr>
          <w:rFonts w:ascii="Arial" w:hAnsi="Arial"/>
          <w:sz w:val="24"/>
          <w:szCs w:val="24"/>
        </w:rPr>
        <w:t xml:space="preserve">upport </w:t>
      </w:r>
      <w:r w:rsidR="00575666" w:rsidRPr="00CA217C">
        <w:rPr>
          <w:rFonts w:ascii="Arial" w:hAnsi="Arial"/>
          <w:sz w:val="24"/>
          <w:szCs w:val="24"/>
        </w:rPr>
        <w:t xml:space="preserve">sustainable economic growth across the UK, the improvement of </w:t>
      </w:r>
      <w:r w:rsidR="00F634B9" w:rsidRPr="00CA217C">
        <w:rPr>
          <w:rFonts w:ascii="Arial" w:hAnsi="Arial"/>
          <w:sz w:val="24"/>
          <w:szCs w:val="24"/>
        </w:rPr>
        <w:t>the</w:t>
      </w:r>
      <w:r w:rsidR="00575666" w:rsidRPr="00CA217C">
        <w:rPr>
          <w:rFonts w:ascii="Arial" w:hAnsi="Arial"/>
          <w:sz w:val="24"/>
          <w:szCs w:val="24"/>
        </w:rPr>
        <w:t xml:space="preserve"> UK’s international competitiveness, and </w:t>
      </w:r>
      <w:r w:rsidR="00F634B9" w:rsidRPr="00CA217C">
        <w:rPr>
          <w:rFonts w:ascii="Arial" w:hAnsi="Arial"/>
          <w:sz w:val="24"/>
          <w:szCs w:val="24"/>
        </w:rPr>
        <w:t xml:space="preserve">the </w:t>
      </w:r>
      <w:r w:rsidR="00575666" w:rsidRPr="00CA217C">
        <w:rPr>
          <w:rFonts w:ascii="Arial" w:hAnsi="Arial"/>
          <w:sz w:val="24"/>
          <w:szCs w:val="24"/>
        </w:rPr>
        <w:t xml:space="preserve">quality of life </w:t>
      </w:r>
      <w:r w:rsidR="00F634B9" w:rsidRPr="00CA217C">
        <w:rPr>
          <w:rFonts w:ascii="Arial" w:hAnsi="Arial"/>
          <w:sz w:val="24"/>
          <w:szCs w:val="24"/>
        </w:rPr>
        <w:t xml:space="preserve">of </w:t>
      </w:r>
      <w:r w:rsidR="00012363" w:rsidRPr="00CA217C">
        <w:rPr>
          <w:rFonts w:ascii="Arial" w:hAnsi="Arial"/>
          <w:sz w:val="24"/>
          <w:szCs w:val="24"/>
        </w:rPr>
        <w:t xml:space="preserve">its </w:t>
      </w:r>
      <w:r w:rsidR="00F634B9" w:rsidRPr="00CA217C">
        <w:rPr>
          <w:rFonts w:ascii="Arial" w:hAnsi="Arial"/>
          <w:sz w:val="24"/>
          <w:szCs w:val="24"/>
        </w:rPr>
        <w:t>residents</w:t>
      </w:r>
      <w:r w:rsidR="00E7271F" w:rsidRPr="00CA217C">
        <w:rPr>
          <w:rFonts w:ascii="Arial" w:hAnsi="Arial"/>
          <w:sz w:val="24"/>
          <w:szCs w:val="24"/>
        </w:rPr>
        <w:t>, by:</w:t>
      </w:r>
      <w:r w:rsidR="00F634B9" w:rsidRPr="00CA217C">
        <w:rPr>
          <w:rFonts w:ascii="Arial" w:hAnsi="Arial"/>
          <w:sz w:val="24"/>
          <w:szCs w:val="24"/>
        </w:rPr>
        <w:t xml:space="preserve"> </w:t>
      </w:r>
    </w:p>
    <w:p w14:paraId="35BB78FA" w14:textId="49DA05FE" w:rsidR="00E7271F" w:rsidRPr="00CA217C" w:rsidRDefault="00424709" w:rsidP="00E7271F">
      <w:pPr>
        <w:pStyle w:val="ListParagraph"/>
        <w:numPr>
          <w:ilvl w:val="0"/>
          <w:numId w:val="7"/>
        </w:numPr>
        <w:spacing w:after="390" w:line="240" w:lineRule="auto"/>
        <w:rPr>
          <w:rFonts w:ascii="Arial" w:hAnsi="Arial"/>
          <w:sz w:val="24"/>
          <w:szCs w:val="24"/>
        </w:rPr>
      </w:pPr>
      <w:r w:rsidRPr="00CA217C">
        <w:rPr>
          <w:rFonts w:ascii="Arial" w:hAnsi="Arial"/>
          <w:sz w:val="24"/>
          <w:szCs w:val="24"/>
        </w:rPr>
        <w:t xml:space="preserve">assessing national infrastructure needs, carrying out in-depth studies into the UK’s most pressing infrastructure challenges, making </w:t>
      </w:r>
      <w:r w:rsidR="00E11334" w:rsidRPr="00CA217C">
        <w:rPr>
          <w:rFonts w:ascii="Arial" w:hAnsi="Arial"/>
          <w:sz w:val="24"/>
          <w:szCs w:val="24"/>
        </w:rPr>
        <w:t xml:space="preserve">independent </w:t>
      </w:r>
      <w:r w:rsidRPr="00CA217C">
        <w:rPr>
          <w:rFonts w:ascii="Arial" w:hAnsi="Arial"/>
          <w:sz w:val="24"/>
          <w:szCs w:val="24"/>
        </w:rPr>
        <w:t>recommendations to the government</w:t>
      </w:r>
      <w:r w:rsidR="00E11334" w:rsidRPr="00CA217C">
        <w:rPr>
          <w:rFonts w:ascii="Arial" w:hAnsi="Arial"/>
          <w:sz w:val="24"/>
          <w:szCs w:val="24"/>
        </w:rPr>
        <w:t xml:space="preserve">, in accordance </w:t>
      </w:r>
      <w:r w:rsidR="007D7081" w:rsidRPr="00CA217C">
        <w:rPr>
          <w:rFonts w:ascii="Arial" w:hAnsi="Arial"/>
          <w:sz w:val="24"/>
          <w:szCs w:val="24"/>
        </w:rPr>
        <w:t>with its</w:t>
      </w:r>
      <w:r w:rsidR="00FF0E2F" w:rsidRPr="00CA217C">
        <w:rPr>
          <w:rFonts w:ascii="Arial" w:hAnsi="Arial"/>
          <w:sz w:val="24"/>
          <w:szCs w:val="24"/>
        </w:rPr>
        <w:t xml:space="preserve"> </w:t>
      </w:r>
      <w:hyperlink r:id="rId16" w:history="1">
        <w:r w:rsidR="00FF0E2F" w:rsidRPr="00CA217C">
          <w:rPr>
            <w:rFonts w:ascii="Arial" w:hAnsi="Arial"/>
            <w:sz w:val="24"/>
            <w:szCs w:val="24"/>
          </w:rPr>
          <w:t>Fiscal Remit</w:t>
        </w:r>
      </w:hyperlink>
      <w:r w:rsidR="00E11334" w:rsidRPr="00CA217C">
        <w:rPr>
          <w:rFonts w:ascii="Arial" w:hAnsi="Arial"/>
          <w:sz w:val="24"/>
          <w:szCs w:val="24"/>
        </w:rPr>
        <w:t xml:space="preserve"> </w:t>
      </w:r>
      <w:r w:rsidR="00FF0E2F" w:rsidRPr="00CA217C">
        <w:rPr>
          <w:rFonts w:ascii="Arial" w:hAnsi="Arial"/>
          <w:sz w:val="24"/>
          <w:szCs w:val="24"/>
        </w:rPr>
        <w:t xml:space="preserve"> - also set</w:t>
      </w:r>
      <w:r w:rsidR="00572839" w:rsidRPr="00CA217C">
        <w:rPr>
          <w:rFonts w:ascii="Arial" w:hAnsi="Arial"/>
          <w:sz w:val="24"/>
          <w:szCs w:val="24"/>
        </w:rPr>
        <w:t xml:space="preserve"> by</w:t>
      </w:r>
      <w:r w:rsidR="00FF0E2F" w:rsidRPr="00CA217C">
        <w:rPr>
          <w:rFonts w:ascii="Arial" w:hAnsi="Arial"/>
          <w:sz w:val="24"/>
          <w:szCs w:val="24"/>
        </w:rPr>
        <w:t xml:space="preserve"> the Treasury</w:t>
      </w:r>
      <w:r w:rsidR="007D7081" w:rsidRPr="00CA217C">
        <w:rPr>
          <w:rFonts w:ascii="Arial" w:hAnsi="Arial"/>
          <w:sz w:val="24"/>
          <w:szCs w:val="24"/>
        </w:rPr>
        <w:t xml:space="preserve"> - </w:t>
      </w:r>
      <w:r w:rsidR="00E11334" w:rsidRPr="00CA217C">
        <w:rPr>
          <w:rFonts w:ascii="Arial" w:hAnsi="Arial"/>
          <w:sz w:val="24"/>
          <w:szCs w:val="24"/>
        </w:rPr>
        <w:t>and the terms of reference set for specific studies</w:t>
      </w:r>
      <w:r w:rsidR="002C2EF4" w:rsidRPr="00CA217C">
        <w:rPr>
          <w:rFonts w:ascii="Arial" w:hAnsi="Arial"/>
          <w:sz w:val="24"/>
          <w:szCs w:val="24"/>
        </w:rPr>
        <w:t>;</w:t>
      </w:r>
      <w:r w:rsidRPr="00CA217C">
        <w:rPr>
          <w:rFonts w:ascii="Arial" w:hAnsi="Arial"/>
          <w:sz w:val="24"/>
          <w:szCs w:val="24"/>
        </w:rPr>
        <w:t xml:space="preserve"> </w:t>
      </w:r>
    </w:p>
    <w:p w14:paraId="5BDE2E78" w14:textId="3973795F" w:rsidR="00272B49" w:rsidRPr="00CA217C" w:rsidRDefault="00424709" w:rsidP="004E663E">
      <w:pPr>
        <w:pStyle w:val="ListParagraph"/>
        <w:numPr>
          <w:ilvl w:val="0"/>
          <w:numId w:val="7"/>
        </w:numPr>
        <w:spacing w:after="390" w:line="240" w:lineRule="auto"/>
        <w:rPr>
          <w:rFonts w:ascii="Arial" w:hAnsi="Arial"/>
          <w:sz w:val="24"/>
          <w:szCs w:val="24"/>
        </w:rPr>
      </w:pPr>
      <w:r w:rsidRPr="00CA217C">
        <w:rPr>
          <w:rFonts w:ascii="Arial" w:hAnsi="Arial"/>
          <w:sz w:val="24"/>
          <w:szCs w:val="24"/>
        </w:rPr>
        <w:t xml:space="preserve">monitoring the government’s progress in delivering infrastructure projects and programmes </w:t>
      </w:r>
      <w:r w:rsidR="00A1161D" w:rsidRPr="00CA217C">
        <w:rPr>
          <w:rFonts w:ascii="Arial" w:hAnsi="Arial"/>
          <w:sz w:val="24"/>
          <w:szCs w:val="24"/>
        </w:rPr>
        <w:t xml:space="preserve">that </w:t>
      </w:r>
      <w:r w:rsidRPr="00CA217C">
        <w:rPr>
          <w:rFonts w:ascii="Arial" w:hAnsi="Arial"/>
          <w:sz w:val="24"/>
          <w:szCs w:val="24"/>
        </w:rPr>
        <w:t>the NIC</w:t>
      </w:r>
      <w:r w:rsidR="00A1161D" w:rsidRPr="00CA217C">
        <w:rPr>
          <w:rFonts w:ascii="Arial" w:hAnsi="Arial"/>
          <w:sz w:val="24"/>
          <w:szCs w:val="24"/>
        </w:rPr>
        <w:t xml:space="preserve"> reco</w:t>
      </w:r>
      <w:r w:rsidR="007F64F2" w:rsidRPr="00CA217C">
        <w:rPr>
          <w:rFonts w:ascii="Arial" w:hAnsi="Arial"/>
          <w:sz w:val="24"/>
          <w:szCs w:val="24"/>
        </w:rPr>
        <w:t>m</w:t>
      </w:r>
      <w:r w:rsidR="00A1161D" w:rsidRPr="00CA217C">
        <w:rPr>
          <w:rFonts w:ascii="Arial" w:hAnsi="Arial"/>
          <w:sz w:val="24"/>
          <w:szCs w:val="24"/>
        </w:rPr>
        <w:t>mends</w:t>
      </w:r>
      <w:r w:rsidR="00B16400" w:rsidRPr="00CA217C">
        <w:rPr>
          <w:rFonts w:ascii="Arial" w:hAnsi="Arial"/>
          <w:sz w:val="24"/>
          <w:szCs w:val="24"/>
        </w:rPr>
        <w:t>.</w:t>
      </w:r>
      <w:r w:rsidR="00A1161D" w:rsidRPr="00CA217C">
        <w:rPr>
          <w:rFonts w:ascii="Arial" w:hAnsi="Arial"/>
          <w:sz w:val="24"/>
          <w:szCs w:val="24"/>
        </w:rPr>
        <w:t xml:space="preserve"> </w:t>
      </w:r>
    </w:p>
    <w:p w14:paraId="6D6BA3D5" w14:textId="60F374B3" w:rsidR="00EF6DE9" w:rsidRPr="00CA217C" w:rsidRDefault="00EF6DE9" w:rsidP="00C10A2C">
      <w:pPr>
        <w:spacing w:after="390" w:line="240" w:lineRule="auto"/>
        <w:rPr>
          <w:rFonts w:ascii="Arial" w:hAnsi="Arial"/>
          <w:sz w:val="24"/>
          <w:szCs w:val="24"/>
        </w:rPr>
      </w:pPr>
      <w:r w:rsidRPr="00CA217C">
        <w:rPr>
          <w:rFonts w:ascii="Arial" w:hAnsi="Arial"/>
          <w:sz w:val="24"/>
          <w:szCs w:val="24"/>
        </w:rPr>
        <w:t xml:space="preserve">Otherwise – outside that very significant binding </w:t>
      </w:r>
      <w:r w:rsidR="00B71D14" w:rsidRPr="00CA217C">
        <w:rPr>
          <w:rFonts w:ascii="Arial" w:hAnsi="Arial"/>
          <w:sz w:val="24"/>
          <w:szCs w:val="24"/>
        </w:rPr>
        <w:t xml:space="preserve">Fiscal Remit </w:t>
      </w:r>
      <w:r w:rsidRPr="00CA217C">
        <w:rPr>
          <w:rFonts w:ascii="Arial" w:hAnsi="Arial"/>
          <w:sz w:val="24"/>
          <w:szCs w:val="24"/>
        </w:rPr>
        <w:t xml:space="preserve"> -  </w:t>
      </w:r>
      <w:r w:rsidR="003D6084" w:rsidRPr="00CA217C">
        <w:rPr>
          <w:rFonts w:ascii="Arial" w:hAnsi="Arial"/>
          <w:sz w:val="24"/>
          <w:szCs w:val="24"/>
        </w:rPr>
        <w:t>the NIC’s</w:t>
      </w:r>
      <w:r w:rsidRPr="00CA217C">
        <w:rPr>
          <w:rFonts w:ascii="Arial" w:hAnsi="Arial"/>
          <w:sz w:val="24"/>
          <w:szCs w:val="24"/>
        </w:rPr>
        <w:t xml:space="preserve"> </w:t>
      </w:r>
      <w:r w:rsidR="00C10A2C" w:rsidRPr="00CA217C">
        <w:rPr>
          <w:rFonts w:ascii="Arial" w:hAnsi="Arial"/>
          <w:sz w:val="24"/>
          <w:szCs w:val="24"/>
        </w:rPr>
        <w:t xml:space="preserve"> </w:t>
      </w:r>
      <w:r w:rsidRPr="00CA217C">
        <w:rPr>
          <w:rFonts w:ascii="Arial" w:hAnsi="Arial"/>
          <w:sz w:val="24"/>
          <w:szCs w:val="24"/>
        </w:rPr>
        <w:t>Charte</w:t>
      </w:r>
      <w:r w:rsidR="00C10A2C" w:rsidRPr="00CA217C">
        <w:rPr>
          <w:rFonts w:ascii="Arial" w:hAnsi="Arial"/>
          <w:sz w:val="24"/>
          <w:szCs w:val="24"/>
        </w:rPr>
        <w:t xml:space="preserve">r </w:t>
      </w:r>
      <w:r w:rsidRPr="00CA217C">
        <w:rPr>
          <w:rFonts w:ascii="Arial" w:hAnsi="Arial"/>
          <w:sz w:val="24"/>
          <w:szCs w:val="24"/>
        </w:rPr>
        <w:t>provides</w:t>
      </w:r>
      <w:r w:rsidR="003D6084" w:rsidRPr="00CA217C">
        <w:rPr>
          <w:rFonts w:ascii="Arial" w:hAnsi="Arial"/>
          <w:sz w:val="24"/>
          <w:szCs w:val="24"/>
        </w:rPr>
        <w:t xml:space="preserve"> it </w:t>
      </w:r>
      <w:r w:rsidRPr="00CA217C">
        <w:rPr>
          <w:rFonts w:ascii="Arial" w:hAnsi="Arial"/>
          <w:sz w:val="24"/>
          <w:szCs w:val="24"/>
        </w:rPr>
        <w:t>with ‘complete discretion to determine independently its work programme, methodologies and recommendations, as well as the content of its reports and public statements’, in terms of defining the nation’s long-term infrastructure needs, prioritising and planning, and testing value for money, to ensure that investment is properly targeted to deliver maximum benefit’.</w:t>
      </w:r>
    </w:p>
    <w:p w14:paraId="182E6D21" w14:textId="77777777" w:rsidR="000E732F" w:rsidRPr="00CA217C" w:rsidRDefault="000E732F" w:rsidP="00272B49">
      <w:pPr>
        <w:spacing w:after="390" w:line="240" w:lineRule="auto"/>
        <w:rPr>
          <w:rFonts w:ascii="Arial" w:hAnsi="Arial"/>
          <w:sz w:val="24"/>
          <w:szCs w:val="24"/>
        </w:rPr>
      </w:pPr>
      <w:r w:rsidRPr="00CA217C">
        <w:rPr>
          <w:rFonts w:ascii="Arial" w:hAnsi="Arial"/>
          <w:sz w:val="24"/>
          <w:szCs w:val="24"/>
        </w:rPr>
        <w:lastRenderedPageBreak/>
        <w:t>It also</w:t>
      </w:r>
      <w:r w:rsidR="008B78EC" w:rsidRPr="00CA217C">
        <w:rPr>
          <w:rFonts w:ascii="Arial" w:hAnsi="Arial"/>
          <w:sz w:val="24"/>
          <w:szCs w:val="24"/>
        </w:rPr>
        <w:t xml:space="preserve"> requires the NIC to produce </w:t>
      </w:r>
      <w:r w:rsidR="00FE3CE5" w:rsidRPr="00CA217C">
        <w:rPr>
          <w:rFonts w:ascii="Arial" w:hAnsi="Arial"/>
          <w:sz w:val="24"/>
          <w:szCs w:val="24"/>
        </w:rPr>
        <w:t>two key outputs</w:t>
      </w:r>
      <w:r w:rsidR="008B78EC" w:rsidRPr="00CA217C">
        <w:rPr>
          <w:rFonts w:ascii="Arial" w:hAnsi="Arial"/>
          <w:sz w:val="24"/>
          <w:szCs w:val="24"/>
        </w:rPr>
        <w:t>.</w:t>
      </w:r>
    </w:p>
    <w:p w14:paraId="78730F55" w14:textId="26729568" w:rsidR="00F45925" w:rsidRPr="00CA217C" w:rsidRDefault="00611866" w:rsidP="00272B49">
      <w:pPr>
        <w:spacing w:after="390" w:line="240" w:lineRule="auto"/>
        <w:rPr>
          <w:rFonts w:ascii="Arial" w:hAnsi="Arial"/>
          <w:sz w:val="24"/>
          <w:szCs w:val="24"/>
        </w:rPr>
      </w:pPr>
      <w:r w:rsidRPr="00CA217C">
        <w:rPr>
          <w:rFonts w:ascii="Arial" w:hAnsi="Arial"/>
          <w:sz w:val="24"/>
          <w:szCs w:val="24"/>
        </w:rPr>
        <w:t>First</w:t>
      </w:r>
      <w:r w:rsidR="000E732F" w:rsidRPr="00CA217C">
        <w:rPr>
          <w:rFonts w:ascii="Arial" w:hAnsi="Arial"/>
          <w:sz w:val="24"/>
          <w:szCs w:val="24"/>
        </w:rPr>
        <w:t>, a</w:t>
      </w:r>
      <w:r w:rsidR="00894B2E" w:rsidRPr="00CA217C">
        <w:rPr>
          <w:rFonts w:ascii="Arial" w:hAnsi="Arial"/>
          <w:sz w:val="24"/>
          <w:szCs w:val="24"/>
        </w:rPr>
        <w:t xml:space="preserve"> </w:t>
      </w:r>
      <w:r w:rsidR="00DF39BF" w:rsidRPr="00CA217C">
        <w:rPr>
          <w:rFonts w:ascii="Arial" w:hAnsi="Arial"/>
          <w:sz w:val="24"/>
          <w:szCs w:val="24"/>
        </w:rPr>
        <w:t>National Infrastructure Assessment</w:t>
      </w:r>
      <w:r w:rsidR="004C1DBA" w:rsidRPr="00CA217C">
        <w:rPr>
          <w:rFonts w:ascii="Arial" w:hAnsi="Arial"/>
          <w:sz w:val="24"/>
          <w:szCs w:val="24"/>
        </w:rPr>
        <w:t xml:space="preserve"> (</w:t>
      </w:r>
      <w:r w:rsidR="00607849" w:rsidRPr="00CA217C">
        <w:rPr>
          <w:rFonts w:ascii="Arial" w:hAnsi="Arial"/>
          <w:sz w:val="24"/>
          <w:szCs w:val="24"/>
        </w:rPr>
        <w:t>NIA)</w:t>
      </w:r>
      <w:r w:rsidR="00DF39BF" w:rsidRPr="00CA217C">
        <w:rPr>
          <w:rFonts w:ascii="Arial" w:hAnsi="Arial"/>
          <w:sz w:val="24"/>
          <w:szCs w:val="24"/>
        </w:rPr>
        <w:t xml:space="preserve"> once in every Parliament, setting out the NIC’s assessment of</w:t>
      </w:r>
      <w:r w:rsidR="00C56AFD" w:rsidRPr="00CA217C">
        <w:rPr>
          <w:rFonts w:ascii="Arial" w:hAnsi="Arial"/>
          <w:sz w:val="24"/>
          <w:szCs w:val="24"/>
        </w:rPr>
        <w:t xml:space="preserve"> the UK’s</w:t>
      </w:r>
      <w:r w:rsidR="00DF39BF" w:rsidRPr="00CA217C">
        <w:rPr>
          <w:rFonts w:ascii="Arial" w:hAnsi="Arial"/>
          <w:sz w:val="24"/>
          <w:szCs w:val="24"/>
        </w:rPr>
        <w:t xml:space="preserve"> long-term infrastructure needs</w:t>
      </w:r>
      <w:r w:rsidR="00F45925" w:rsidRPr="00CA217C">
        <w:rPr>
          <w:rFonts w:ascii="Arial" w:hAnsi="Arial"/>
          <w:sz w:val="24"/>
          <w:szCs w:val="24"/>
        </w:rPr>
        <w:t>.</w:t>
      </w:r>
      <w:r w:rsidR="00E55F22" w:rsidRPr="00CA217C">
        <w:rPr>
          <w:rFonts w:ascii="Arial" w:hAnsi="Arial"/>
          <w:sz w:val="24"/>
          <w:szCs w:val="24"/>
        </w:rPr>
        <w:t xml:space="preserve"> </w:t>
      </w:r>
      <w:r w:rsidR="001A053F" w:rsidRPr="00CA217C">
        <w:rPr>
          <w:rFonts w:ascii="Arial" w:hAnsi="Arial"/>
          <w:sz w:val="24"/>
          <w:szCs w:val="24"/>
        </w:rPr>
        <w:t xml:space="preserve">The first </w:t>
      </w:r>
      <w:hyperlink r:id="rId17" w:history="1">
        <w:r w:rsidR="00B02D96" w:rsidRPr="00CA217C">
          <w:rPr>
            <w:rFonts w:ascii="Arial" w:hAnsi="Arial"/>
            <w:sz w:val="24"/>
            <w:szCs w:val="24"/>
          </w:rPr>
          <w:t>July 2018 National Infrastructure Assessment</w:t>
        </w:r>
      </w:hyperlink>
      <w:r w:rsidR="00B02D96" w:rsidRPr="00CA217C">
        <w:rPr>
          <w:rFonts w:ascii="Arial" w:hAnsi="Arial"/>
          <w:sz w:val="24"/>
          <w:szCs w:val="24"/>
        </w:rPr>
        <w:t xml:space="preserve"> </w:t>
      </w:r>
      <w:r w:rsidR="00E3231A" w:rsidRPr="00CA217C">
        <w:rPr>
          <w:rFonts w:ascii="Arial" w:hAnsi="Arial"/>
          <w:sz w:val="24"/>
          <w:szCs w:val="24"/>
        </w:rPr>
        <w:t xml:space="preserve"> </w:t>
      </w:r>
      <w:r w:rsidR="00940040" w:rsidRPr="00CA217C">
        <w:rPr>
          <w:rFonts w:ascii="Arial" w:hAnsi="Arial"/>
          <w:sz w:val="24"/>
          <w:szCs w:val="24"/>
        </w:rPr>
        <w:t xml:space="preserve">covered the </w:t>
      </w:r>
      <w:r w:rsidR="00E55F22" w:rsidRPr="00CA217C">
        <w:rPr>
          <w:rFonts w:ascii="Arial" w:hAnsi="Arial"/>
          <w:sz w:val="24"/>
          <w:szCs w:val="24"/>
        </w:rPr>
        <w:t>30-year time horizon</w:t>
      </w:r>
      <w:r w:rsidR="00E63AE0" w:rsidRPr="00CA217C">
        <w:rPr>
          <w:rFonts w:ascii="Arial" w:hAnsi="Arial"/>
          <w:sz w:val="24"/>
          <w:szCs w:val="24"/>
        </w:rPr>
        <w:t xml:space="preserve"> between 2020 and 2050</w:t>
      </w:r>
      <w:r w:rsidR="00E55F22" w:rsidRPr="00CA217C">
        <w:rPr>
          <w:rFonts w:ascii="Arial" w:hAnsi="Arial"/>
          <w:sz w:val="24"/>
          <w:szCs w:val="24"/>
        </w:rPr>
        <w:t>.</w:t>
      </w:r>
    </w:p>
    <w:p w14:paraId="71934831" w14:textId="62C452A2" w:rsidR="00F45925" w:rsidRPr="00CA217C" w:rsidRDefault="00F45925" w:rsidP="004E663E">
      <w:pPr>
        <w:spacing w:after="390" w:line="240" w:lineRule="auto"/>
        <w:rPr>
          <w:rFonts w:ascii="Arial" w:hAnsi="Arial"/>
          <w:sz w:val="24"/>
          <w:szCs w:val="24"/>
        </w:rPr>
      </w:pPr>
      <w:r w:rsidRPr="00CA217C">
        <w:rPr>
          <w:rFonts w:ascii="Arial" w:hAnsi="Arial"/>
          <w:sz w:val="24"/>
          <w:szCs w:val="24"/>
        </w:rPr>
        <w:t xml:space="preserve">And, second, </w:t>
      </w:r>
      <w:r w:rsidR="00550578" w:rsidRPr="00CA217C">
        <w:rPr>
          <w:rFonts w:ascii="Arial" w:hAnsi="Arial"/>
          <w:sz w:val="24"/>
          <w:szCs w:val="24"/>
        </w:rPr>
        <w:t xml:space="preserve">an </w:t>
      </w:r>
      <w:r w:rsidR="00DF39BF" w:rsidRPr="00CA217C">
        <w:rPr>
          <w:rFonts w:ascii="Arial" w:hAnsi="Arial"/>
          <w:sz w:val="24"/>
          <w:szCs w:val="24"/>
        </w:rPr>
        <w:t>annual monitoring report, taking stock of the government’s progress in areas where it has committed to taking forward recommendations of the NIC</w:t>
      </w:r>
      <w:r w:rsidRPr="00CA217C">
        <w:rPr>
          <w:rFonts w:ascii="Arial" w:hAnsi="Arial"/>
          <w:sz w:val="24"/>
          <w:szCs w:val="24"/>
        </w:rPr>
        <w:t>.</w:t>
      </w:r>
      <w:r w:rsidR="008D59FA" w:rsidRPr="00CA217C">
        <w:rPr>
          <w:rFonts w:ascii="Arial" w:hAnsi="Arial"/>
          <w:sz w:val="24"/>
          <w:szCs w:val="24"/>
        </w:rPr>
        <w:t xml:space="preserve"> </w:t>
      </w:r>
      <w:r w:rsidR="00B72A7F" w:rsidRPr="00CA217C">
        <w:rPr>
          <w:rFonts w:ascii="Arial" w:hAnsi="Arial"/>
          <w:sz w:val="24"/>
          <w:szCs w:val="24"/>
        </w:rPr>
        <w:t>Hitherto, two have been produced,</w:t>
      </w:r>
      <w:r w:rsidR="003F6C52" w:rsidRPr="00CA217C">
        <w:rPr>
          <w:rFonts w:ascii="Arial" w:hAnsi="Arial"/>
          <w:sz w:val="24"/>
          <w:szCs w:val="24"/>
        </w:rPr>
        <w:t xml:space="preserve"> </w:t>
      </w:r>
      <w:r w:rsidR="00053DC0" w:rsidRPr="00CA217C">
        <w:rPr>
          <w:rFonts w:ascii="Arial" w:hAnsi="Arial"/>
          <w:sz w:val="24"/>
          <w:szCs w:val="24"/>
        </w:rPr>
        <w:t>the</w:t>
      </w:r>
      <w:r w:rsidR="003F6C52" w:rsidRPr="00CA217C">
        <w:rPr>
          <w:rFonts w:ascii="Arial" w:hAnsi="Arial"/>
          <w:sz w:val="24"/>
          <w:szCs w:val="24"/>
        </w:rPr>
        <w:t xml:space="preserve"> </w:t>
      </w:r>
      <w:r w:rsidR="00B72A7F" w:rsidRPr="00CA217C">
        <w:rPr>
          <w:rFonts w:ascii="Arial" w:hAnsi="Arial"/>
          <w:sz w:val="24"/>
          <w:szCs w:val="24"/>
        </w:rPr>
        <w:t xml:space="preserve"> </w:t>
      </w:r>
      <w:hyperlink r:id="rId18" w:history="1">
        <w:r w:rsidR="00151CA5" w:rsidRPr="00CA217C">
          <w:rPr>
            <w:rFonts w:ascii="Arial" w:hAnsi="Arial"/>
            <w:sz w:val="24"/>
            <w:szCs w:val="24"/>
          </w:rPr>
          <w:t>2019 Annual Monitoring Report</w:t>
        </w:r>
      </w:hyperlink>
      <w:r w:rsidR="00151CA5" w:rsidRPr="00CA217C">
        <w:rPr>
          <w:rFonts w:ascii="Arial" w:hAnsi="Arial"/>
          <w:sz w:val="24"/>
          <w:szCs w:val="24"/>
        </w:rPr>
        <w:t xml:space="preserve">, the latest. </w:t>
      </w:r>
    </w:p>
    <w:p w14:paraId="12042AA3" w14:textId="77777777" w:rsidR="00956CD2" w:rsidRPr="00CA217C" w:rsidRDefault="00F45925" w:rsidP="004E663E">
      <w:pPr>
        <w:spacing w:after="390" w:line="240" w:lineRule="auto"/>
        <w:rPr>
          <w:rFonts w:ascii="Arial" w:hAnsi="Arial"/>
          <w:sz w:val="24"/>
          <w:szCs w:val="24"/>
        </w:rPr>
      </w:pPr>
      <w:r w:rsidRPr="00CA217C">
        <w:rPr>
          <w:rFonts w:ascii="Arial" w:hAnsi="Arial"/>
          <w:sz w:val="24"/>
          <w:szCs w:val="24"/>
        </w:rPr>
        <w:t>In ad</w:t>
      </w:r>
      <w:r w:rsidR="00DC6825" w:rsidRPr="00CA217C">
        <w:rPr>
          <w:rFonts w:ascii="Arial" w:hAnsi="Arial"/>
          <w:sz w:val="24"/>
          <w:szCs w:val="24"/>
        </w:rPr>
        <w:t>dition</w:t>
      </w:r>
      <w:r w:rsidR="0004154F" w:rsidRPr="00CA217C">
        <w:rPr>
          <w:rFonts w:ascii="Arial" w:hAnsi="Arial"/>
          <w:sz w:val="24"/>
          <w:szCs w:val="24"/>
        </w:rPr>
        <w:t>,</w:t>
      </w:r>
      <w:r w:rsidR="00DC6825" w:rsidRPr="00CA217C">
        <w:rPr>
          <w:rFonts w:ascii="Arial" w:hAnsi="Arial"/>
          <w:sz w:val="24"/>
          <w:szCs w:val="24"/>
        </w:rPr>
        <w:t xml:space="preserve"> </w:t>
      </w:r>
      <w:r w:rsidR="000A5884" w:rsidRPr="00CA217C">
        <w:rPr>
          <w:rFonts w:ascii="Arial" w:hAnsi="Arial"/>
          <w:sz w:val="24"/>
          <w:szCs w:val="24"/>
        </w:rPr>
        <w:t>specific studies</w:t>
      </w:r>
      <w:r w:rsidR="00AE18CA" w:rsidRPr="00CA217C">
        <w:rPr>
          <w:rFonts w:ascii="Arial" w:hAnsi="Arial"/>
          <w:sz w:val="24"/>
          <w:szCs w:val="24"/>
        </w:rPr>
        <w:t>, undertaken</w:t>
      </w:r>
      <w:r w:rsidR="0004154F" w:rsidRPr="00CA217C">
        <w:rPr>
          <w:rFonts w:ascii="Arial" w:hAnsi="Arial"/>
          <w:sz w:val="24"/>
          <w:szCs w:val="24"/>
        </w:rPr>
        <w:t xml:space="preserve"> </w:t>
      </w:r>
      <w:r w:rsidR="000A5884" w:rsidRPr="00CA217C">
        <w:rPr>
          <w:rFonts w:ascii="Arial" w:hAnsi="Arial"/>
          <w:sz w:val="24"/>
          <w:szCs w:val="24"/>
        </w:rPr>
        <w:t xml:space="preserve">in accordance with the terms of reference </w:t>
      </w:r>
      <w:r w:rsidR="004E018E" w:rsidRPr="00CA217C">
        <w:rPr>
          <w:rFonts w:ascii="Arial" w:hAnsi="Arial"/>
          <w:sz w:val="24"/>
          <w:szCs w:val="24"/>
        </w:rPr>
        <w:t>set by the government</w:t>
      </w:r>
      <w:r w:rsidR="00FD5325" w:rsidRPr="00CA217C">
        <w:rPr>
          <w:rFonts w:ascii="Arial" w:hAnsi="Arial"/>
          <w:sz w:val="24"/>
          <w:szCs w:val="24"/>
        </w:rPr>
        <w:t xml:space="preserve"> </w:t>
      </w:r>
      <w:r w:rsidR="00956CD2" w:rsidRPr="00CA217C">
        <w:rPr>
          <w:rFonts w:ascii="Arial" w:hAnsi="Arial"/>
          <w:sz w:val="24"/>
          <w:szCs w:val="24"/>
        </w:rPr>
        <w:t xml:space="preserve">for each study </w:t>
      </w:r>
      <w:r w:rsidR="00FD5325" w:rsidRPr="00CA217C">
        <w:rPr>
          <w:rFonts w:ascii="Arial" w:hAnsi="Arial"/>
          <w:sz w:val="24"/>
          <w:szCs w:val="24"/>
        </w:rPr>
        <w:t>must be produced</w:t>
      </w:r>
      <w:r w:rsidR="0004154F" w:rsidRPr="00CA217C">
        <w:rPr>
          <w:rFonts w:ascii="Arial" w:hAnsi="Arial"/>
          <w:sz w:val="24"/>
          <w:szCs w:val="24"/>
        </w:rPr>
        <w:t xml:space="preserve">, </w:t>
      </w:r>
      <w:r w:rsidR="00956CD2" w:rsidRPr="00CA217C">
        <w:rPr>
          <w:rFonts w:ascii="Arial" w:hAnsi="Arial"/>
          <w:sz w:val="24"/>
          <w:szCs w:val="24"/>
        </w:rPr>
        <w:t>as and when</w:t>
      </w:r>
      <w:r w:rsidR="0004154F" w:rsidRPr="00CA217C">
        <w:rPr>
          <w:rFonts w:ascii="Arial" w:hAnsi="Arial"/>
          <w:sz w:val="24"/>
          <w:szCs w:val="24"/>
        </w:rPr>
        <w:t xml:space="preserve"> required</w:t>
      </w:r>
      <w:r w:rsidR="004E018E" w:rsidRPr="00CA217C">
        <w:rPr>
          <w:rFonts w:ascii="Arial" w:hAnsi="Arial"/>
          <w:sz w:val="24"/>
          <w:szCs w:val="24"/>
        </w:rPr>
        <w:t>.</w:t>
      </w:r>
    </w:p>
    <w:p w14:paraId="6E79FE34" w14:textId="77777777" w:rsidR="00185379" w:rsidRPr="00CA217C" w:rsidRDefault="00FB6A67" w:rsidP="004E663E">
      <w:pPr>
        <w:spacing w:after="390" w:line="240" w:lineRule="auto"/>
        <w:rPr>
          <w:rFonts w:ascii="Arial" w:hAnsi="Arial"/>
          <w:sz w:val="24"/>
          <w:szCs w:val="24"/>
        </w:rPr>
      </w:pPr>
      <w:r w:rsidRPr="00CA217C">
        <w:rPr>
          <w:rFonts w:ascii="Arial" w:hAnsi="Arial"/>
          <w:sz w:val="24"/>
          <w:szCs w:val="24"/>
        </w:rPr>
        <w:t>Se</w:t>
      </w:r>
      <w:r w:rsidR="008315AE" w:rsidRPr="00CA217C">
        <w:rPr>
          <w:rFonts w:ascii="Arial" w:hAnsi="Arial"/>
          <w:sz w:val="24"/>
          <w:szCs w:val="24"/>
        </w:rPr>
        <w:t xml:space="preserve">ven </w:t>
      </w:r>
      <w:r w:rsidR="00956CD2" w:rsidRPr="00CA217C">
        <w:rPr>
          <w:rFonts w:ascii="Arial" w:hAnsi="Arial"/>
          <w:sz w:val="24"/>
          <w:szCs w:val="24"/>
        </w:rPr>
        <w:t xml:space="preserve">such </w:t>
      </w:r>
      <w:r w:rsidR="00823B99" w:rsidRPr="00CA217C">
        <w:rPr>
          <w:rFonts w:ascii="Arial" w:hAnsi="Arial"/>
          <w:sz w:val="24"/>
          <w:szCs w:val="24"/>
        </w:rPr>
        <w:t>studies had</w:t>
      </w:r>
      <w:r w:rsidR="008315AE" w:rsidRPr="00CA217C">
        <w:rPr>
          <w:rFonts w:ascii="Arial" w:hAnsi="Arial"/>
          <w:sz w:val="24"/>
          <w:szCs w:val="24"/>
        </w:rPr>
        <w:t xml:space="preserve"> been completed</w:t>
      </w:r>
      <w:r w:rsidR="00823B99" w:rsidRPr="00CA217C">
        <w:rPr>
          <w:rFonts w:ascii="Arial" w:hAnsi="Arial"/>
          <w:sz w:val="24"/>
          <w:szCs w:val="24"/>
        </w:rPr>
        <w:t xml:space="preserve"> by 2019</w:t>
      </w:r>
      <w:r w:rsidR="008315AE" w:rsidRPr="00CA217C">
        <w:rPr>
          <w:rFonts w:ascii="Arial" w:hAnsi="Arial"/>
          <w:sz w:val="24"/>
          <w:szCs w:val="24"/>
        </w:rPr>
        <w:t xml:space="preserve">, covering new technologies, digital future, </w:t>
      </w:r>
      <w:r w:rsidR="00EA6869" w:rsidRPr="00CA217C">
        <w:rPr>
          <w:rFonts w:ascii="Arial" w:hAnsi="Arial"/>
          <w:sz w:val="24"/>
          <w:szCs w:val="24"/>
        </w:rPr>
        <w:t>smart power, roads for the future</w:t>
      </w:r>
      <w:r w:rsidR="00142B44" w:rsidRPr="00CA217C">
        <w:rPr>
          <w:rFonts w:ascii="Arial" w:hAnsi="Arial"/>
          <w:sz w:val="24"/>
          <w:szCs w:val="24"/>
        </w:rPr>
        <w:t>, the roll-out</w:t>
      </w:r>
      <w:r w:rsidR="00345625" w:rsidRPr="00CA217C">
        <w:rPr>
          <w:rFonts w:ascii="Arial" w:hAnsi="Arial"/>
          <w:sz w:val="24"/>
          <w:szCs w:val="24"/>
        </w:rPr>
        <w:t xml:space="preserve"> </w:t>
      </w:r>
      <w:r w:rsidR="00142B44" w:rsidRPr="00CA217C">
        <w:rPr>
          <w:rFonts w:ascii="Arial" w:hAnsi="Arial"/>
          <w:sz w:val="24"/>
          <w:szCs w:val="24"/>
        </w:rPr>
        <w:t>of 5G mobile services</w:t>
      </w:r>
      <w:r w:rsidR="00345625" w:rsidRPr="00CA217C">
        <w:rPr>
          <w:rFonts w:ascii="Arial" w:hAnsi="Arial"/>
          <w:sz w:val="24"/>
          <w:szCs w:val="24"/>
        </w:rPr>
        <w:t>, the future transport connectivity of London (with particular reference to CrossRail2)</w:t>
      </w:r>
      <w:r w:rsidR="00823B99" w:rsidRPr="00CA217C">
        <w:rPr>
          <w:rFonts w:ascii="Arial" w:hAnsi="Arial"/>
          <w:sz w:val="24"/>
          <w:szCs w:val="24"/>
        </w:rPr>
        <w:t>,</w:t>
      </w:r>
      <w:r w:rsidR="00345625" w:rsidRPr="00CA217C">
        <w:rPr>
          <w:rFonts w:ascii="Arial" w:hAnsi="Arial"/>
          <w:sz w:val="24"/>
          <w:szCs w:val="24"/>
        </w:rPr>
        <w:t xml:space="preserve"> </w:t>
      </w:r>
      <w:r w:rsidR="004170CF" w:rsidRPr="00CA217C">
        <w:rPr>
          <w:rFonts w:ascii="Arial" w:hAnsi="Arial"/>
          <w:sz w:val="24"/>
          <w:szCs w:val="24"/>
        </w:rPr>
        <w:t>and of the North</w:t>
      </w:r>
      <w:r w:rsidR="00614F71" w:rsidRPr="00CA217C">
        <w:rPr>
          <w:rFonts w:ascii="Arial" w:hAnsi="Arial"/>
          <w:sz w:val="24"/>
          <w:szCs w:val="24"/>
        </w:rPr>
        <w:t xml:space="preserve"> </w:t>
      </w:r>
      <w:r w:rsidR="00605F64" w:rsidRPr="00CA217C">
        <w:rPr>
          <w:rFonts w:ascii="Arial" w:hAnsi="Arial"/>
          <w:sz w:val="24"/>
          <w:szCs w:val="24"/>
        </w:rPr>
        <w:t>(</w:t>
      </w:r>
      <w:r w:rsidR="00614F71" w:rsidRPr="00CA217C">
        <w:rPr>
          <w:rFonts w:ascii="Arial" w:hAnsi="Arial"/>
          <w:sz w:val="24"/>
          <w:szCs w:val="24"/>
        </w:rPr>
        <w:t>with particular reference to high speed train connections</w:t>
      </w:r>
      <w:r w:rsidR="00605F64" w:rsidRPr="00CA217C">
        <w:rPr>
          <w:rFonts w:ascii="Arial" w:hAnsi="Arial"/>
          <w:sz w:val="24"/>
          <w:szCs w:val="24"/>
        </w:rPr>
        <w:t>)</w:t>
      </w:r>
    </w:p>
    <w:p w14:paraId="49E26A4D" w14:textId="49A5B8D4" w:rsidR="00205EB0" w:rsidRPr="00874394" w:rsidRDefault="00185379" w:rsidP="004E663E">
      <w:pPr>
        <w:spacing w:after="390" w:line="240" w:lineRule="auto"/>
        <w:rPr>
          <w:rFonts w:ascii="Arial" w:hAnsi="Arial"/>
          <w:sz w:val="24"/>
          <w:szCs w:val="24"/>
          <w:u w:val="single"/>
        </w:rPr>
      </w:pPr>
      <w:r w:rsidRPr="00874394">
        <w:rPr>
          <w:rFonts w:ascii="Arial" w:hAnsi="Arial"/>
          <w:sz w:val="24"/>
          <w:szCs w:val="24"/>
          <w:u w:val="single"/>
        </w:rPr>
        <w:t xml:space="preserve">Helping to make public investment smart by reforming </w:t>
      </w:r>
      <w:r w:rsidR="00C117EB" w:rsidRPr="00874394">
        <w:rPr>
          <w:rFonts w:ascii="Arial" w:hAnsi="Arial"/>
          <w:sz w:val="24"/>
          <w:szCs w:val="24"/>
          <w:u w:val="single"/>
        </w:rPr>
        <w:t xml:space="preserve">the NIC Charter and Fiscal Remit </w:t>
      </w:r>
    </w:p>
    <w:p w14:paraId="1B2C0FD2" w14:textId="1602A43D" w:rsidR="00550578" w:rsidRPr="00CA217C" w:rsidRDefault="007E08F9" w:rsidP="004E663E">
      <w:pPr>
        <w:spacing w:after="390" w:line="240" w:lineRule="auto"/>
        <w:rPr>
          <w:rFonts w:ascii="Arial" w:hAnsi="Arial"/>
          <w:sz w:val="24"/>
          <w:szCs w:val="24"/>
        </w:rPr>
      </w:pPr>
      <w:r w:rsidRPr="00CA217C">
        <w:rPr>
          <w:rFonts w:ascii="Arial" w:hAnsi="Arial"/>
          <w:sz w:val="24"/>
          <w:szCs w:val="24"/>
        </w:rPr>
        <w:t xml:space="preserve">The ability of the NIC to </w:t>
      </w:r>
      <w:r w:rsidR="00CC0AAA" w:rsidRPr="00CA217C">
        <w:rPr>
          <w:rFonts w:ascii="Arial" w:hAnsi="Arial"/>
          <w:sz w:val="24"/>
          <w:szCs w:val="24"/>
        </w:rPr>
        <w:t xml:space="preserve">identify, recommend, order, and sequence infrastructural investments requiring public investment </w:t>
      </w:r>
      <w:r w:rsidR="00205EB0" w:rsidRPr="00CA217C">
        <w:rPr>
          <w:rFonts w:ascii="Arial" w:hAnsi="Arial"/>
          <w:sz w:val="24"/>
          <w:szCs w:val="24"/>
        </w:rPr>
        <w:t xml:space="preserve">in an adequate and efficient manner is </w:t>
      </w:r>
      <w:r w:rsidR="0095576F" w:rsidRPr="00CA217C">
        <w:rPr>
          <w:rFonts w:ascii="Arial" w:hAnsi="Arial"/>
          <w:sz w:val="24"/>
          <w:szCs w:val="24"/>
        </w:rPr>
        <w:t>hamstrung</w:t>
      </w:r>
      <w:r w:rsidR="00205EB0" w:rsidRPr="00CA217C">
        <w:rPr>
          <w:rFonts w:ascii="Arial" w:hAnsi="Arial"/>
          <w:sz w:val="24"/>
          <w:szCs w:val="24"/>
        </w:rPr>
        <w:t xml:space="preserve"> by its current </w:t>
      </w:r>
      <w:r w:rsidR="005A6511">
        <w:rPr>
          <w:rFonts w:ascii="Arial" w:hAnsi="Arial"/>
          <w:sz w:val="24"/>
          <w:szCs w:val="24"/>
        </w:rPr>
        <w:t>F</w:t>
      </w:r>
      <w:r w:rsidR="00205EB0" w:rsidRPr="00CA217C">
        <w:rPr>
          <w:rFonts w:ascii="Arial" w:hAnsi="Arial"/>
          <w:sz w:val="24"/>
          <w:szCs w:val="24"/>
        </w:rPr>
        <w:t xml:space="preserve">iscal </w:t>
      </w:r>
      <w:r w:rsidR="005A6511">
        <w:rPr>
          <w:rFonts w:ascii="Arial" w:hAnsi="Arial"/>
          <w:sz w:val="24"/>
          <w:szCs w:val="24"/>
        </w:rPr>
        <w:t>R</w:t>
      </w:r>
      <w:r w:rsidR="00205EB0" w:rsidRPr="00CA217C">
        <w:rPr>
          <w:rFonts w:ascii="Arial" w:hAnsi="Arial"/>
          <w:sz w:val="24"/>
          <w:szCs w:val="24"/>
        </w:rPr>
        <w:t>emit</w:t>
      </w:r>
      <w:r w:rsidR="003A309E" w:rsidRPr="00CA217C">
        <w:rPr>
          <w:rFonts w:ascii="Arial" w:hAnsi="Arial"/>
          <w:sz w:val="24"/>
          <w:szCs w:val="24"/>
        </w:rPr>
        <w:t>: stillborn, in effect.</w:t>
      </w:r>
      <w:r w:rsidR="00614F71" w:rsidRPr="00CA217C">
        <w:rPr>
          <w:rFonts w:ascii="Arial" w:hAnsi="Arial"/>
          <w:sz w:val="24"/>
          <w:szCs w:val="24"/>
        </w:rPr>
        <w:t xml:space="preserve"> </w:t>
      </w:r>
    </w:p>
    <w:p w14:paraId="054A57A4" w14:textId="2D65E4EC" w:rsidR="00DF3B4C" w:rsidRDefault="00E952DC" w:rsidP="00CE4BF5">
      <w:pPr>
        <w:spacing w:after="390" w:line="240" w:lineRule="auto"/>
        <w:rPr>
          <w:rFonts w:ascii="Arial" w:hAnsi="Arial"/>
          <w:sz w:val="24"/>
          <w:szCs w:val="24"/>
        </w:rPr>
      </w:pPr>
      <w:r>
        <w:rPr>
          <w:rFonts w:ascii="Arial" w:hAnsi="Arial"/>
          <w:sz w:val="24"/>
          <w:szCs w:val="24"/>
        </w:rPr>
        <w:t xml:space="preserve">The </w:t>
      </w:r>
      <w:r w:rsidR="006C097E">
        <w:rPr>
          <w:rFonts w:ascii="Arial" w:hAnsi="Arial"/>
          <w:sz w:val="24"/>
          <w:szCs w:val="24"/>
        </w:rPr>
        <w:t xml:space="preserve">Fiscal remit </w:t>
      </w:r>
      <w:r w:rsidR="00FC3F3E" w:rsidRPr="00CA217C">
        <w:rPr>
          <w:rFonts w:ascii="Arial" w:hAnsi="Arial"/>
          <w:sz w:val="24"/>
          <w:szCs w:val="24"/>
        </w:rPr>
        <w:t xml:space="preserve">provides </w:t>
      </w:r>
      <w:r w:rsidR="002D4485" w:rsidRPr="00CA217C">
        <w:rPr>
          <w:rFonts w:ascii="Arial" w:hAnsi="Arial"/>
          <w:sz w:val="24"/>
          <w:szCs w:val="24"/>
        </w:rPr>
        <w:t>the NI</w:t>
      </w:r>
      <w:r w:rsidR="006A2DFB" w:rsidRPr="00CA217C">
        <w:rPr>
          <w:rFonts w:ascii="Arial" w:hAnsi="Arial"/>
          <w:sz w:val="24"/>
          <w:szCs w:val="24"/>
        </w:rPr>
        <w:t xml:space="preserve">C with </w:t>
      </w:r>
      <w:r w:rsidR="000D6177" w:rsidRPr="00CA217C">
        <w:rPr>
          <w:rFonts w:ascii="Arial" w:hAnsi="Arial"/>
          <w:sz w:val="24"/>
          <w:szCs w:val="24"/>
        </w:rPr>
        <w:t xml:space="preserve">a </w:t>
      </w:r>
      <w:r w:rsidR="00CB3250" w:rsidRPr="00CA217C">
        <w:rPr>
          <w:rFonts w:ascii="Arial" w:hAnsi="Arial"/>
          <w:sz w:val="24"/>
          <w:szCs w:val="24"/>
        </w:rPr>
        <w:t xml:space="preserve">gross public investment </w:t>
      </w:r>
      <w:r w:rsidR="000D6177" w:rsidRPr="00CA217C">
        <w:rPr>
          <w:rFonts w:ascii="Arial" w:hAnsi="Arial"/>
          <w:sz w:val="24"/>
          <w:szCs w:val="24"/>
        </w:rPr>
        <w:t xml:space="preserve">funding envelope </w:t>
      </w:r>
      <w:r w:rsidR="009C1EC6" w:rsidRPr="00CA217C">
        <w:rPr>
          <w:rFonts w:ascii="Arial" w:hAnsi="Arial"/>
          <w:sz w:val="24"/>
          <w:szCs w:val="24"/>
        </w:rPr>
        <w:t>of between 1.0% and 1.2% of GDP in each year between 2020 and 2050</w:t>
      </w:r>
      <w:r w:rsidR="00DB5B15">
        <w:rPr>
          <w:rFonts w:ascii="Arial" w:hAnsi="Arial"/>
          <w:sz w:val="24"/>
          <w:szCs w:val="24"/>
        </w:rPr>
        <w:t>.</w:t>
      </w:r>
      <w:r w:rsidR="000F6ED2">
        <w:rPr>
          <w:rFonts w:ascii="Arial" w:hAnsi="Arial"/>
          <w:sz w:val="24"/>
          <w:szCs w:val="24"/>
        </w:rPr>
        <w:t xml:space="preserve"> </w:t>
      </w:r>
    </w:p>
    <w:p w14:paraId="6BD21A9E" w14:textId="412205B5" w:rsidR="00926B14" w:rsidRPr="00CA217C" w:rsidRDefault="00926B14" w:rsidP="00926B14">
      <w:pPr>
        <w:spacing w:after="390" w:line="240" w:lineRule="auto"/>
        <w:rPr>
          <w:rFonts w:ascii="Arial" w:hAnsi="Arial"/>
          <w:sz w:val="24"/>
          <w:szCs w:val="24"/>
        </w:rPr>
      </w:pPr>
      <w:r w:rsidRPr="00CA217C">
        <w:rPr>
          <w:rFonts w:ascii="Arial" w:hAnsi="Arial"/>
          <w:sz w:val="24"/>
          <w:szCs w:val="24"/>
        </w:rPr>
        <w:t xml:space="preserve">NIC recommendations for economic infrastructure must keep within </w:t>
      </w:r>
      <w:r>
        <w:rPr>
          <w:rFonts w:ascii="Arial" w:hAnsi="Arial"/>
          <w:sz w:val="24"/>
          <w:szCs w:val="24"/>
        </w:rPr>
        <w:t xml:space="preserve">that </w:t>
      </w:r>
      <w:r w:rsidRPr="00CA217C">
        <w:rPr>
          <w:rFonts w:ascii="Arial" w:hAnsi="Arial"/>
          <w:sz w:val="24"/>
          <w:szCs w:val="24"/>
        </w:rPr>
        <w:t xml:space="preserve">envelope, taking account of existing </w:t>
      </w:r>
      <w:r w:rsidR="005B1B8D">
        <w:rPr>
          <w:rFonts w:ascii="Arial" w:hAnsi="Arial"/>
          <w:sz w:val="24"/>
          <w:szCs w:val="24"/>
        </w:rPr>
        <w:t xml:space="preserve">funding </w:t>
      </w:r>
      <w:r w:rsidRPr="00CA217C">
        <w:rPr>
          <w:rFonts w:ascii="Arial" w:hAnsi="Arial"/>
          <w:sz w:val="24"/>
          <w:szCs w:val="24"/>
        </w:rPr>
        <w:t xml:space="preserve">commitments, including HS2, </w:t>
      </w:r>
      <w:proofErr w:type="spellStart"/>
      <w:r w:rsidRPr="00CA217C">
        <w:rPr>
          <w:rFonts w:ascii="Arial" w:hAnsi="Arial"/>
          <w:sz w:val="24"/>
          <w:szCs w:val="24"/>
        </w:rPr>
        <w:t>Crossrail</w:t>
      </w:r>
      <w:proofErr w:type="spellEnd"/>
      <w:r w:rsidRPr="00CA217C">
        <w:rPr>
          <w:rFonts w:ascii="Arial" w:hAnsi="Arial"/>
          <w:sz w:val="24"/>
          <w:szCs w:val="24"/>
        </w:rPr>
        <w:t xml:space="preserve"> 2, and Northern Powerhouse Rail, but excluding the spending of the devolved assemblies in Scotland and Wales.</w:t>
      </w:r>
    </w:p>
    <w:p w14:paraId="765406E0" w14:textId="76CB97A0" w:rsidR="00926B14" w:rsidRPr="00CA217C" w:rsidRDefault="00827088" w:rsidP="00926B14">
      <w:pPr>
        <w:spacing w:after="390" w:line="240" w:lineRule="auto"/>
        <w:rPr>
          <w:rFonts w:ascii="Arial" w:hAnsi="Arial"/>
          <w:sz w:val="24"/>
          <w:szCs w:val="24"/>
        </w:rPr>
      </w:pPr>
      <w:r>
        <w:rPr>
          <w:rFonts w:ascii="Arial" w:hAnsi="Arial"/>
          <w:sz w:val="24"/>
          <w:szCs w:val="24"/>
        </w:rPr>
        <w:t>S</w:t>
      </w:r>
      <w:r w:rsidR="00926B14" w:rsidRPr="00CA217C">
        <w:rPr>
          <w:rFonts w:ascii="Arial" w:hAnsi="Arial"/>
          <w:sz w:val="24"/>
          <w:szCs w:val="24"/>
        </w:rPr>
        <w:t xml:space="preserve">uch </w:t>
      </w:r>
      <w:bookmarkStart w:id="2" w:name="_Hlk10667279"/>
      <w:r w:rsidR="00926B14" w:rsidRPr="00CA217C">
        <w:rPr>
          <w:rFonts w:ascii="Arial" w:hAnsi="Arial"/>
          <w:sz w:val="24"/>
          <w:szCs w:val="24"/>
        </w:rPr>
        <w:t>existing commitments combined with expected maintenance spending on existing assets</w:t>
      </w:r>
      <w:r w:rsidR="005B1B8D">
        <w:rPr>
          <w:rFonts w:ascii="Arial" w:hAnsi="Arial"/>
          <w:sz w:val="24"/>
          <w:szCs w:val="24"/>
        </w:rPr>
        <w:t>,</w:t>
      </w:r>
      <w:r w:rsidR="00926B14" w:rsidRPr="00CA217C">
        <w:rPr>
          <w:rFonts w:ascii="Arial" w:hAnsi="Arial"/>
          <w:sz w:val="24"/>
          <w:szCs w:val="24"/>
        </w:rPr>
        <w:t xml:space="preserve"> will consume an estimated 1.1% of GDP between 2020 and 2025, and 0.9% between 2025 and 2030</w:t>
      </w:r>
      <w:bookmarkEnd w:id="2"/>
      <w:r w:rsidR="00926B14" w:rsidRPr="00CA217C">
        <w:rPr>
          <w:rFonts w:ascii="Arial" w:hAnsi="Arial"/>
          <w:sz w:val="24"/>
          <w:szCs w:val="24"/>
        </w:rPr>
        <w:t>.</w:t>
      </w:r>
    </w:p>
    <w:p w14:paraId="1098AA4D" w14:textId="65FFE421" w:rsidR="00926B14" w:rsidRPr="00CA217C" w:rsidRDefault="00926B14" w:rsidP="00926B14">
      <w:pPr>
        <w:spacing w:after="390" w:line="240" w:lineRule="auto"/>
        <w:rPr>
          <w:rFonts w:ascii="Arial" w:hAnsi="Arial"/>
          <w:sz w:val="24"/>
          <w:szCs w:val="24"/>
        </w:rPr>
      </w:pPr>
      <w:r w:rsidRPr="00CA217C">
        <w:rPr>
          <w:rFonts w:ascii="Arial" w:hAnsi="Arial"/>
          <w:sz w:val="24"/>
          <w:szCs w:val="24"/>
        </w:rPr>
        <w:t xml:space="preserve">Clearly, this will leave very limited fiscal space over the short-to-medium term for new and additional projects, regardless of their economic utility and capacity to produce project lifetime benefits in excess of costs over time. </w:t>
      </w:r>
    </w:p>
    <w:p w14:paraId="642AACEF" w14:textId="5266FD11" w:rsidR="00CF14AD" w:rsidRPr="00CA217C" w:rsidRDefault="00CF14AD" w:rsidP="00CE4BF5">
      <w:pPr>
        <w:spacing w:after="390" w:line="240" w:lineRule="auto"/>
        <w:rPr>
          <w:rFonts w:ascii="Arial" w:hAnsi="Arial"/>
          <w:sz w:val="24"/>
          <w:szCs w:val="24"/>
        </w:rPr>
      </w:pPr>
      <w:r w:rsidRPr="00CA217C">
        <w:rPr>
          <w:rFonts w:ascii="Arial" w:hAnsi="Arial"/>
          <w:sz w:val="24"/>
          <w:szCs w:val="24"/>
        </w:rPr>
        <w:lastRenderedPageBreak/>
        <w:t xml:space="preserve">That </w:t>
      </w:r>
      <w:r w:rsidR="004F09CF" w:rsidRPr="00CA217C">
        <w:rPr>
          <w:rFonts w:ascii="Arial" w:hAnsi="Arial"/>
          <w:sz w:val="24"/>
          <w:szCs w:val="24"/>
        </w:rPr>
        <w:t>limit has no necessary relationship to optimal macro-econom</w:t>
      </w:r>
      <w:r w:rsidR="00DE205B" w:rsidRPr="00CA217C">
        <w:rPr>
          <w:rFonts w:ascii="Arial" w:hAnsi="Arial"/>
          <w:sz w:val="24"/>
          <w:szCs w:val="24"/>
        </w:rPr>
        <w:t>ic</w:t>
      </w:r>
      <w:r w:rsidR="004F09CF" w:rsidRPr="00CA217C">
        <w:rPr>
          <w:rFonts w:ascii="Arial" w:hAnsi="Arial"/>
          <w:sz w:val="24"/>
          <w:szCs w:val="24"/>
        </w:rPr>
        <w:t xml:space="preserve"> requir</w:t>
      </w:r>
      <w:r w:rsidR="00DE205B" w:rsidRPr="00CA217C">
        <w:rPr>
          <w:rFonts w:ascii="Arial" w:hAnsi="Arial"/>
          <w:sz w:val="24"/>
          <w:szCs w:val="24"/>
        </w:rPr>
        <w:t>e</w:t>
      </w:r>
      <w:r w:rsidR="004F09CF" w:rsidRPr="00CA217C">
        <w:rPr>
          <w:rFonts w:ascii="Arial" w:hAnsi="Arial"/>
          <w:sz w:val="24"/>
          <w:szCs w:val="24"/>
        </w:rPr>
        <w:t>ment</w:t>
      </w:r>
      <w:r w:rsidR="00DE205B" w:rsidRPr="00CA217C">
        <w:rPr>
          <w:rFonts w:ascii="Arial" w:hAnsi="Arial"/>
          <w:sz w:val="24"/>
          <w:szCs w:val="24"/>
        </w:rPr>
        <w:t>s, and no evidence is offered by the government that it does</w:t>
      </w:r>
      <w:r w:rsidR="005B1B8D">
        <w:rPr>
          <w:rFonts w:ascii="Arial" w:hAnsi="Arial"/>
          <w:sz w:val="24"/>
          <w:szCs w:val="24"/>
        </w:rPr>
        <w:t xml:space="preserve">, </w:t>
      </w:r>
      <w:r w:rsidR="00DE205B" w:rsidRPr="00CA217C">
        <w:rPr>
          <w:rFonts w:ascii="Arial" w:hAnsi="Arial"/>
          <w:sz w:val="24"/>
          <w:szCs w:val="24"/>
        </w:rPr>
        <w:t xml:space="preserve">set rather by the imperative to meet </w:t>
      </w:r>
      <w:r w:rsidR="000B576C" w:rsidRPr="00CA217C">
        <w:rPr>
          <w:rFonts w:ascii="Arial" w:hAnsi="Arial"/>
          <w:sz w:val="24"/>
          <w:szCs w:val="24"/>
        </w:rPr>
        <w:t xml:space="preserve">a blunt unitary fiscal target that </w:t>
      </w:r>
      <w:r w:rsidR="0046438A" w:rsidRPr="00CA217C">
        <w:rPr>
          <w:rFonts w:ascii="Arial" w:hAnsi="Arial"/>
          <w:sz w:val="24"/>
          <w:szCs w:val="24"/>
        </w:rPr>
        <w:t xml:space="preserve">lumps together recurrent </w:t>
      </w:r>
      <w:r w:rsidR="00BC4114" w:rsidRPr="00CA217C">
        <w:rPr>
          <w:rFonts w:ascii="Arial" w:hAnsi="Arial"/>
          <w:sz w:val="24"/>
          <w:szCs w:val="24"/>
        </w:rPr>
        <w:t xml:space="preserve">annual recurrent </w:t>
      </w:r>
      <w:r w:rsidR="00EC7952">
        <w:rPr>
          <w:rFonts w:ascii="Arial" w:hAnsi="Arial"/>
          <w:sz w:val="24"/>
          <w:szCs w:val="24"/>
        </w:rPr>
        <w:t xml:space="preserve">costs </w:t>
      </w:r>
      <w:r w:rsidR="00BC4114" w:rsidRPr="00CA217C">
        <w:rPr>
          <w:rFonts w:ascii="Arial" w:hAnsi="Arial"/>
          <w:sz w:val="24"/>
          <w:szCs w:val="24"/>
        </w:rPr>
        <w:t xml:space="preserve">with </w:t>
      </w:r>
      <w:r w:rsidR="00DD4F0C" w:rsidRPr="00CA217C">
        <w:rPr>
          <w:rFonts w:ascii="Arial" w:hAnsi="Arial"/>
          <w:sz w:val="24"/>
          <w:szCs w:val="24"/>
        </w:rPr>
        <w:t xml:space="preserve">investment </w:t>
      </w:r>
      <w:r w:rsidR="00BC4114" w:rsidRPr="00CA217C">
        <w:rPr>
          <w:rFonts w:ascii="Arial" w:hAnsi="Arial"/>
          <w:sz w:val="24"/>
          <w:szCs w:val="24"/>
        </w:rPr>
        <w:t>expenditures</w:t>
      </w:r>
      <w:r w:rsidR="00A1415F">
        <w:rPr>
          <w:rFonts w:ascii="Arial" w:hAnsi="Arial"/>
          <w:sz w:val="24"/>
          <w:szCs w:val="24"/>
        </w:rPr>
        <w:t xml:space="preserve">, the costs of which are </w:t>
      </w:r>
      <w:r w:rsidR="00DD4F0C" w:rsidRPr="00CA217C">
        <w:rPr>
          <w:rFonts w:ascii="Arial" w:hAnsi="Arial"/>
          <w:sz w:val="24"/>
          <w:szCs w:val="24"/>
        </w:rPr>
        <w:t>concentrated in the short-term</w:t>
      </w:r>
      <w:r w:rsidR="006B200E">
        <w:rPr>
          <w:rFonts w:ascii="Arial" w:hAnsi="Arial"/>
          <w:sz w:val="24"/>
          <w:szCs w:val="24"/>
        </w:rPr>
        <w:t xml:space="preserve"> </w:t>
      </w:r>
      <w:r w:rsidR="00A1415F">
        <w:rPr>
          <w:rFonts w:ascii="Arial" w:hAnsi="Arial"/>
          <w:sz w:val="24"/>
          <w:szCs w:val="24"/>
        </w:rPr>
        <w:t xml:space="preserve">but </w:t>
      </w:r>
      <w:r w:rsidR="009235C6">
        <w:rPr>
          <w:rFonts w:ascii="Arial" w:hAnsi="Arial"/>
          <w:sz w:val="24"/>
          <w:szCs w:val="24"/>
        </w:rPr>
        <w:t xml:space="preserve">which </w:t>
      </w:r>
      <w:r w:rsidR="0070455D">
        <w:rPr>
          <w:rFonts w:ascii="Arial" w:hAnsi="Arial"/>
          <w:sz w:val="24"/>
          <w:szCs w:val="24"/>
        </w:rPr>
        <w:t xml:space="preserve">generate </w:t>
      </w:r>
      <w:r w:rsidR="00DD4F0C" w:rsidRPr="00CA217C">
        <w:rPr>
          <w:rFonts w:ascii="Arial" w:hAnsi="Arial"/>
          <w:sz w:val="24"/>
          <w:szCs w:val="24"/>
        </w:rPr>
        <w:t>long-term economic benefits.</w:t>
      </w:r>
      <w:r w:rsidR="00BC4114" w:rsidRPr="00CA217C">
        <w:rPr>
          <w:rFonts w:ascii="Arial" w:hAnsi="Arial"/>
          <w:sz w:val="24"/>
          <w:szCs w:val="24"/>
        </w:rPr>
        <w:t xml:space="preserve"> </w:t>
      </w:r>
      <w:r w:rsidR="00DE205B" w:rsidRPr="00CA217C">
        <w:rPr>
          <w:rFonts w:ascii="Arial" w:hAnsi="Arial"/>
          <w:sz w:val="24"/>
          <w:szCs w:val="24"/>
        </w:rPr>
        <w:t xml:space="preserve"> </w:t>
      </w:r>
      <w:r w:rsidR="004F09CF" w:rsidRPr="00CA217C">
        <w:rPr>
          <w:rFonts w:ascii="Arial" w:hAnsi="Arial"/>
          <w:sz w:val="24"/>
          <w:szCs w:val="24"/>
        </w:rPr>
        <w:t xml:space="preserve"> </w:t>
      </w:r>
    </w:p>
    <w:p w14:paraId="5CCE17A7" w14:textId="39D448E8" w:rsidR="00AE7254" w:rsidRDefault="005B1B8D" w:rsidP="00422EF9">
      <w:pPr>
        <w:spacing w:after="390" w:line="240" w:lineRule="auto"/>
        <w:rPr>
          <w:rFonts w:ascii="Arial" w:hAnsi="Arial"/>
          <w:sz w:val="24"/>
          <w:szCs w:val="24"/>
        </w:rPr>
      </w:pPr>
      <w:r>
        <w:rPr>
          <w:rFonts w:ascii="Arial" w:hAnsi="Arial"/>
          <w:sz w:val="24"/>
          <w:szCs w:val="24"/>
        </w:rPr>
        <w:t xml:space="preserve">It </w:t>
      </w:r>
      <w:r w:rsidR="00422EF9" w:rsidRPr="00CA217C">
        <w:rPr>
          <w:rFonts w:ascii="Arial" w:hAnsi="Arial"/>
          <w:sz w:val="24"/>
          <w:szCs w:val="24"/>
        </w:rPr>
        <w:t xml:space="preserve">will </w:t>
      </w:r>
      <w:r w:rsidR="004B43C1">
        <w:rPr>
          <w:rFonts w:ascii="Arial" w:hAnsi="Arial"/>
          <w:sz w:val="24"/>
          <w:szCs w:val="24"/>
        </w:rPr>
        <w:t xml:space="preserve">also </w:t>
      </w:r>
      <w:r w:rsidR="00422EF9" w:rsidRPr="00CA217C">
        <w:rPr>
          <w:rFonts w:ascii="Arial" w:hAnsi="Arial"/>
          <w:sz w:val="24"/>
          <w:szCs w:val="24"/>
        </w:rPr>
        <w:t>undermine any effort of the NIC to select, rank, and sequence, projects efficiently</w:t>
      </w:r>
      <w:r w:rsidR="00BA28A2" w:rsidRPr="00CA217C">
        <w:rPr>
          <w:rFonts w:ascii="Arial" w:hAnsi="Arial"/>
          <w:sz w:val="24"/>
          <w:szCs w:val="24"/>
        </w:rPr>
        <w:t>,</w:t>
      </w:r>
      <w:r w:rsidR="00422EF9" w:rsidRPr="00CA217C">
        <w:rPr>
          <w:rFonts w:ascii="Arial" w:hAnsi="Arial"/>
          <w:sz w:val="24"/>
          <w:szCs w:val="24"/>
        </w:rPr>
        <w:t xml:space="preserve"> given the lumpiness and interdependency of many projects.</w:t>
      </w:r>
    </w:p>
    <w:p w14:paraId="77558F85" w14:textId="77777777" w:rsidR="00446BC0" w:rsidRPr="00CA217C" w:rsidRDefault="00446BC0" w:rsidP="00446BC0">
      <w:pPr>
        <w:spacing w:after="390" w:line="240" w:lineRule="auto"/>
        <w:rPr>
          <w:rFonts w:ascii="Arial" w:hAnsi="Arial"/>
          <w:sz w:val="24"/>
          <w:szCs w:val="24"/>
        </w:rPr>
      </w:pPr>
      <w:r w:rsidRPr="00CA217C">
        <w:rPr>
          <w:rFonts w:ascii="Arial" w:hAnsi="Arial"/>
          <w:sz w:val="24"/>
          <w:szCs w:val="24"/>
        </w:rPr>
        <w:t xml:space="preserve">Without greater investment funding flexibility, little scope exists, as noted above, for the NIC to assess, identify, order, and sequence, needed productive new economic infrastructure projects. </w:t>
      </w:r>
    </w:p>
    <w:p w14:paraId="70C4EB86" w14:textId="6D49DB22" w:rsidR="00921A32" w:rsidRDefault="00446BC0" w:rsidP="00422EF9">
      <w:pPr>
        <w:spacing w:after="390" w:line="240" w:lineRule="auto"/>
        <w:rPr>
          <w:rFonts w:ascii="Arial" w:hAnsi="Arial"/>
          <w:sz w:val="24"/>
          <w:szCs w:val="24"/>
        </w:rPr>
      </w:pPr>
      <w:r>
        <w:rPr>
          <w:rFonts w:ascii="Arial" w:hAnsi="Arial"/>
          <w:sz w:val="24"/>
          <w:szCs w:val="24"/>
        </w:rPr>
        <w:t>F</w:t>
      </w:r>
      <w:r w:rsidR="00AE7254" w:rsidRPr="00CA217C">
        <w:rPr>
          <w:rFonts w:ascii="Arial" w:hAnsi="Arial"/>
          <w:sz w:val="24"/>
          <w:szCs w:val="24"/>
        </w:rPr>
        <w:t xml:space="preserve">or example, </w:t>
      </w:r>
      <w:r w:rsidR="00F5047F" w:rsidRPr="00CA217C">
        <w:rPr>
          <w:rFonts w:ascii="Arial" w:hAnsi="Arial"/>
          <w:sz w:val="24"/>
          <w:szCs w:val="24"/>
        </w:rPr>
        <w:t>to</w:t>
      </w:r>
      <w:r w:rsidR="00F31DE2" w:rsidRPr="00CA217C">
        <w:rPr>
          <w:rFonts w:ascii="Arial" w:hAnsi="Arial"/>
          <w:sz w:val="24"/>
          <w:szCs w:val="24"/>
        </w:rPr>
        <w:t xml:space="preserve"> assess </w:t>
      </w:r>
      <w:r w:rsidR="0039378E" w:rsidRPr="00CA217C">
        <w:rPr>
          <w:rFonts w:ascii="Arial" w:hAnsi="Arial"/>
          <w:sz w:val="24"/>
          <w:szCs w:val="24"/>
        </w:rPr>
        <w:t xml:space="preserve">and to recommend </w:t>
      </w:r>
      <w:r w:rsidR="000B6BE3" w:rsidRPr="00CA217C">
        <w:rPr>
          <w:rFonts w:ascii="Arial" w:hAnsi="Arial"/>
          <w:sz w:val="24"/>
          <w:szCs w:val="24"/>
        </w:rPr>
        <w:t>upg</w:t>
      </w:r>
      <w:r w:rsidR="006E7766" w:rsidRPr="00CA217C">
        <w:rPr>
          <w:rFonts w:ascii="Arial" w:hAnsi="Arial"/>
          <w:sz w:val="24"/>
          <w:szCs w:val="24"/>
        </w:rPr>
        <w:t>radations</w:t>
      </w:r>
      <w:r w:rsidR="000B6BE3" w:rsidRPr="00CA217C">
        <w:rPr>
          <w:rFonts w:ascii="Arial" w:hAnsi="Arial"/>
          <w:sz w:val="24"/>
          <w:szCs w:val="24"/>
        </w:rPr>
        <w:t xml:space="preserve"> and new addition</w:t>
      </w:r>
      <w:r w:rsidR="00907D7C" w:rsidRPr="00CA217C">
        <w:rPr>
          <w:rFonts w:ascii="Arial" w:hAnsi="Arial"/>
          <w:sz w:val="24"/>
          <w:szCs w:val="24"/>
        </w:rPr>
        <w:t>s</w:t>
      </w:r>
      <w:r w:rsidR="000B6BE3" w:rsidRPr="00CA217C">
        <w:rPr>
          <w:rFonts w:ascii="Arial" w:hAnsi="Arial"/>
          <w:sz w:val="24"/>
          <w:szCs w:val="24"/>
        </w:rPr>
        <w:t xml:space="preserve"> to the </w:t>
      </w:r>
      <w:r w:rsidR="00907D7C" w:rsidRPr="00CA217C">
        <w:rPr>
          <w:rFonts w:ascii="Arial" w:hAnsi="Arial"/>
          <w:sz w:val="24"/>
          <w:szCs w:val="24"/>
        </w:rPr>
        <w:t xml:space="preserve">intra-and inter-urban transport network </w:t>
      </w:r>
      <w:r w:rsidR="007361A9" w:rsidRPr="00CA217C">
        <w:rPr>
          <w:rFonts w:ascii="Arial" w:hAnsi="Arial"/>
          <w:sz w:val="24"/>
          <w:szCs w:val="24"/>
        </w:rPr>
        <w:t xml:space="preserve">that will needed </w:t>
      </w:r>
      <w:r w:rsidR="001679FD" w:rsidRPr="00CA217C">
        <w:rPr>
          <w:rFonts w:ascii="Arial" w:hAnsi="Arial"/>
          <w:sz w:val="24"/>
          <w:szCs w:val="24"/>
        </w:rPr>
        <w:t xml:space="preserve">if </w:t>
      </w:r>
      <w:r w:rsidR="007361A9" w:rsidRPr="00CA217C">
        <w:rPr>
          <w:rFonts w:ascii="Arial" w:hAnsi="Arial"/>
          <w:sz w:val="24"/>
          <w:szCs w:val="24"/>
        </w:rPr>
        <w:t xml:space="preserve">the posited benefits of HS2 is to be </w:t>
      </w:r>
      <w:r w:rsidR="00797BCB" w:rsidRPr="00CA217C">
        <w:rPr>
          <w:rFonts w:ascii="Arial" w:hAnsi="Arial"/>
          <w:sz w:val="24"/>
          <w:szCs w:val="24"/>
        </w:rPr>
        <w:t>effectively reaped,</w:t>
      </w:r>
      <w:r w:rsidR="00374D9C">
        <w:rPr>
          <w:rFonts w:ascii="Arial" w:hAnsi="Arial"/>
          <w:sz w:val="24"/>
          <w:szCs w:val="24"/>
        </w:rPr>
        <w:t xml:space="preserve"> whether</w:t>
      </w:r>
      <w:r w:rsidR="00797BCB" w:rsidRPr="00CA217C">
        <w:rPr>
          <w:rFonts w:ascii="Arial" w:hAnsi="Arial"/>
          <w:sz w:val="24"/>
          <w:szCs w:val="24"/>
        </w:rPr>
        <w:t xml:space="preserve"> </w:t>
      </w:r>
      <w:r w:rsidR="00374D9C" w:rsidRPr="00374D9C">
        <w:rPr>
          <w:rFonts w:ascii="Arial" w:hAnsi="Arial"/>
          <w:sz w:val="24"/>
          <w:szCs w:val="24"/>
        </w:rPr>
        <w:t xml:space="preserve">to the capital </w:t>
      </w:r>
      <w:r w:rsidR="00374D9C">
        <w:rPr>
          <w:rFonts w:ascii="Arial" w:hAnsi="Arial"/>
          <w:sz w:val="24"/>
          <w:szCs w:val="24"/>
        </w:rPr>
        <w:t xml:space="preserve">or to </w:t>
      </w:r>
      <w:r w:rsidR="00374D9C" w:rsidRPr="00374D9C">
        <w:rPr>
          <w:rFonts w:ascii="Arial" w:hAnsi="Arial"/>
          <w:sz w:val="24"/>
          <w:szCs w:val="24"/>
        </w:rPr>
        <w:t>other urban areas</w:t>
      </w:r>
      <w:r w:rsidR="00921A32">
        <w:rPr>
          <w:rFonts w:ascii="Arial" w:hAnsi="Arial"/>
          <w:sz w:val="24"/>
          <w:szCs w:val="24"/>
        </w:rPr>
        <w:t>.</w:t>
      </w:r>
    </w:p>
    <w:p w14:paraId="69A68824" w14:textId="08D2D3E3" w:rsidR="00AE7254" w:rsidRPr="00CA217C" w:rsidRDefault="003907AD" w:rsidP="00422EF9">
      <w:pPr>
        <w:spacing w:after="390" w:line="240" w:lineRule="auto"/>
        <w:rPr>
          <w:rFonts w:ascii="Arial" w:hAnsi="Arial"/>
          <w:sz w:val="24"/>
          <w:szCs w:val="24"/>
        </w:rPr>
      </w:pPr>
      <w:r>
        <w:rPr>
          <w:rFonts w:ascii="Arial" w:hAnsi="Arial"/>
          <w:sz w:val="24"/>
          <w:szCs w:val="24"/>
        </w:rPr>
        <w:t>Or projects designed to improve</w:t>
      </w:r>
      <w:r w:rsidR="001679FD" w:rsidRPr="00CA217C">
        <w:rPr>
          <w:rFonts w:ascii="Arial" w:hAnsi="Arial"/>
          <w:sz w:val="24"/>
          <w:szCs w:val="24"/>
        </w:rPr>
        <w:t xml:space="preserve"> </w:t>
      </w:r>
      <w:r w:rsidR="00D67E35" w:rsidRPr="00CA217C">
        <w:rPr>
          <w:rFonts w:ascii="Arial" w:hAnsi="Arial"/>
          <w:sz w:val="24"/>
          <w:szCs w:val="24"/>
        </w:rPr>
        <w:t xml:space="preserve">the productivity of under-performing urban agglomerations, such as the West Midlands, </w:t>
      </w:r>
      <w:r w:rsidR="00446BC0">
        <w:rPr>
          <w:rFonts w:ascii="Arial" w:hAnsi="Arial"/>
          <w:sz w:val="24"/>
          <w:szCs w:val="24"/>
        </w:rPr>
        <w:t xml:space="preserve">currently </w:t>
      </w:r>
      <w:r w:rsidR="00555CF7" w:rsidRPr="00CA217C">
        <w:rPr>
          <w:rFonts w:ascii="Arial" w:hAnsi="Arial"/>
          <w:sz w:val="24"/>
          <w:szCs w:val="24"/>
        </w:rPr>
        <w:t xml:space="preserve">held back by </w:t>
      </w:r>
      <w:r w:rsidR="004E171E" w:rsidRPr="00CA217C">
        <w:rPr>
          <w:rFonts w:ascii="Arial" w:hAnsi="Arial"/>
          <w:sz w:val="24"/>
          <w:szCs w:val="24"/>
        </w:rPr>
        <w:t xml:space="preserve">congested and </w:t>
      </w:r>
      <w:r w:rsidR="00E061C3" w:rsidRPr="00CA217C">
        <w:rPr>
          <w:rFonts w:ascii="Arial" w:hAnsi="Arial"/>
          <w:sz w:val="24"/>
          <w:szCs w:val="24"/>
        </w:rPr>
        <w:t xml:space="preserve">inadequate public transport </w:t>
      </w:r>
      <w:r w:rsidR="00CA0A65" w:rsidRPr="00CA217C">
        <w:rPr>
          <w:rFonts w:ascii="Arial" w:hAnsi="Arial"/>
          <w:sz w:val="24"/>
          <w:szCs w:val="24"/>
        </w:rPr>
        <w:t>connectivity</w:t>
      </w:r>
      <w:r w:rsidR="002F439B" w:rsidRPr="00CA217C">
        <w:rPr>
          <w:rFonts w:ascii="Arial" w:hAnsi="Arial"/>
          <w:sz w:val="24"/>
          <w:szCs w:val="24"/>
        </w:rPr>
        <w:t>, up</w:t>
      </w:r>
      <w:r w:rsidR="00D734E8" w:rsidRPr="00CA217C">
        <w:rPr>
          <w:rFonts w:ascii="Arial" w:hAnsi="Arial"/>
          <w:sz w:val="24"/>
          <w:szCs w:val="24"/>
        </w:rPr>
        <w:t xml:space="preserve"> closer to Eur</w:t>
      </w:r>
      <w:r w:rsidR="00FD3435" w:rsidRPr="00CA217C">
        <w:rPr>
          <w:rFonts w:ascii="Arial" w:hAnsi="Arial"/>
          <w:sz w:val="24"/>
          <w:szCs w:val="24"/>
        </w:rPr>
        <w:t>opean average levels</w:t>
      </w:r>
      <w:r w:rsidR="00BC2F39" w:rsidRPr="00CA217C">
        <w:rPr>
          <w:rFonts w:ascii="Arial" w:hAnsi="Arial"/>
          <w:sz w:val="24"/>
          <w:szCs w:val="24"/>
        </w:rPr>
        <w:t>.</w:t>
      </w:r>
    </w:p>
    <w:p w14:paraId="59AC120D" w14:textId="6573A357" w:rsidR="00B74727" w:rsidRPr="00CA217C" w:rsidRDefault="005F366E" w:rsidP="00422EF9">
      <w:pPr>
        <w:spacing w:after="390" w:line="240" w:lineRule="auto"/>
        <w:rPr>
          <w:rFonts w:ascii="Arial" w:hAnsi="Arial"/>
          <w:sz w:val="24"/>
          <w:szCs w:val="24"/>
        </w:rPr>
      </w:pPr>
      <w:r>
        <w:rPr>
          <w:rFonts w:ascii="Arial" w:hAnsi="Arial"/>
          <w:sz w:val="24"/>
          <w:szCs w:val="24"/>
        </w:rPr>
        <w:t>T</w:t>
      </w:r>
      <w:r w:rsidR="005955F5" w:rsidRPr="00CA217C">
        <w:rPr>
          <w:rFonts w:ascii="Arial" w:hAnsi="Arial"/>
          <w:sz w:val="24"/>
          <w:szCs w:val="24"/>
        </w:rPr>
        <w:t>he 2019 SR should</w:t>
      </w:r>
      <w:r w:rsidR="007F05C5" w:rsidRPr="00CA217C">
        <w:rPr>
          <w:rFonts w:ascii="Arial" w:hAnsi="Arial"/>
          <w:sz w:val="24"/>
          <w:szCs w:val="24"/>
        </w:rPr>
        <w:t xml:space="preserve"> not only</w:t>
      </w:r>
      <w:r w:rsidR="005955F5" w:rsidRPr="00CA217C">
        <w:rPr>
          <w:rFonts w:ascii="Arial" w:hAnsi="Arial"/>
          <w:sz w:val="24"/>
          <w:szCs w:val="24"/>
        </w:rPr>
        <w:t xml:space="preserve"> </w:t>
      </w:r>
      <w:r w:rsidR="00B555B3" w:rsidRPr="00CA217C">
        <w:rPr>
          <w:rFonts w:ascii="Arial" w:hAnsi="Arial"/>
          <w:sz w:val="24"/>
          <w:szCs w:val="24"/>
        </w:rPr>
        <w:t xml:space="preserve">increase </w:t>
      </w:r>
      <w:r w:rsidR="005955F5" w:rsidRPr="00CA217C">
        <w:rPr>
          <w:rFonts w:ascii="Arial" w:hAnsi="Arial"/>
          <w:sz w:val="24"/>
          <w:szCs w:val="24"/>
        </w:rPr>
        <w:t xml:space="preserve">the </w:t>
      </w:r>
      <w:r w:rsidR="00B555B3" w:rsidRPr="00CA217C">
        <w:rPr>
          <w:rFonts w:ascii="Arial" w:hAnsi="Arial"/>
          <w:sz w:val="24"/>
          <w:szCs w:val="24"/>
        </w:rPr>
        <w:t xml:space="preserve">NIC’s </w:t>
      </w:r>
      <w:r w:rsidR="005955F5" w:rsidRPr="00CA217C">
        <w:rPr>
          <w:rFonts w:ascii="Arial" w:hAnsi="Arial"/>
          <w:sz w:val="24"/>
          <w:szCs w:val="24"/>
        </w:rPr>
        <w:t xml:space="preserve">current </w:t>
      </w:r>
      <w:r w:rsidR="00B555B3" w:rsidRPr="00CA217C">
        <w:rPr>
          <w:rFonts w:ascii="Arial" w:hAnsi="Arial"/>
          <w:sz w:val="24"/>
          <w:szCs w:val="24"/>
        </w:rPr>
        <w:t xml:space="preserve">Fiscal </w:t>
      </w:r>
      <w:r w:rsidR="004B35A7" w:rsidRPr="00CA217C">
        <w:rPr>
          <w:rFonts w:ascii="Arial" w:hAnsi="Arial"/>
          <w:sz w:val="24"/>
          <w:szCs w:val="24"/>
        </w:rPr>
        <w:t>Remit</w:t>
      </w:r>
      <w:r w:rsidR="004B35A7">
        <w:rPr>
          <w:rFonts w:ascii="Arial" w:hAnsi="Arial"/>
          <w:sz w:val="24"/>
          <w:szCs w:val="24"/>
        </w:rPr>
        <w:t xml:space="preserve"> but</w:t>
      </w:r>
      <w:r w:rsidR="007F05C5" w:rsidRPr="00CA217C">
        <w:rPr>
          <w:rFonts w:ascii="Arial" w:hAnsi="Arial"/>
          <w:sz w:val="24"/>
          <w:szCs w:val="24"/>
        </w:rPr>
        <w:t xml:space="preserve"> disentangle </w:t>
      </w:r>
      <w:r w:rsidR="00680869" w:rsidRPr="00CA217C">
        <w:rPr>
          <w:rFonts w:ascii="Arial" w:hAnsi="Arial"/>
          <w:sz w:val="24"/>
          <w:szCs w:val="24"/>
        </w:rPr>
        <w:t>it fr</w:t>
      </w:r>
      <w:r w:rsidR="00962705" w:rsidRPr="00CA217C">
        <w:rPr>
          <w:rFonts w:ascii="Arial" w:hAnsi="Arial"/>
          <w:sz w:val="24"/>
          <w:szCs w:val="24"/>
        </w:rPr>
        <w:t>o</w:t>
      </w:r>
      <w:r w:rsidR="00680869" w:rsidRPr="00CA217C">
        <w:rPr>
          <w:rFonts w:ascii="Arial" w:hAnsi="Arial"/>
          <w:sz w:val="24"/>
          <w:szCs w:val="24"/>
        </w:rPr>
        <w:t xml:space="preserve">m </w:t>
      </w:r>
      <w:r w:rsidR="00F14534" w:rsidRPr="00CA217C">
        <w:rPr>
          <w:rFonts w:ascii="Arial" w:hAnsi="Arial"/>
          <w:sz w:val="24"/>
          <w:szCs w:val="24"/>
        </w:rPr>
        <w:t xml:space="preserve">unitary cash-based </w:t>
      </w:r>
      <w:r w:rsidR="003E2B39" w:rsidRPr="00CA217C">
        <w:rPr>
          <w:rFonts w:ascii="Arial" w:hAnsi="Arial"/>
          <w:sz w:val="24"/>
          <w:szCs w:val="24"/>
        </w:rPr>
        <w:t>fiscal targets</w:t>
      </w:r>
      <w:r w:rsidR="00B23D24" w:rsidRPr="00CA217C">
        <w:rPr>
          <w:rFonts w:ascii="Arial" w:hAnsi="Arial"/>
          <w:sz w:val="24"/>
          <w:szCs w:val="24"/>
        </w:rPr>
        <w:t>.</w:t>
      </w:r>
    </w:p>
    <w:p w14:paraId="0AC25BA5" w14:textId="615FF7ED" w:rsidR="00B74727" w:rsidRDefault="00B74727" w:rsidP="00B74727">
      <w:pPr>
        <w:spacing w:after="390" w:line="240" w:lineRule="auto"/>
        <w:rPr>
          <w:rFonts w:ascii="Arial" w:hAnsi="Arial"/>
          <w:sz w:val="24"/>
          <w:szCs w:val="24"/>
        </w:rPr>
      </w:pPr>
      <w:r w:rsidRPr="00CA217C">
        <w:rPr>
          <w:rFonts w:ascii="Arial" w:hAnsi="Arial"/>
          <w:sz w:val="24"/>
          <w:szCs w:val="24"/>
        </w:rPr>
        <w:t xml:space="preserve">Looking to the future, a strong case can therefore be made, for the NIC’s independent remit properly to be enlarged to cover on-going evidenced assessment of the future volume need for public investment and its sequencing to the Treasury. </w:t>
      </w:r>
    </w:p>
    <w:p w14:paraId="0EF1D403" w14:textId="3D330D35" w:rsidR="00F47CF7" w:rsidRDefault="00F47CF7" w:rsidP="00B74727">
      <w:pPr>
        <w:spacing w:after="390" w:line="240" w:lineRule="auto"/>
        <w:rPr>
          <w:rFonts w:ascii="Arial" w:hAnsi="Arial"/>
          <w:sz w:val="24"/>
          <w:szCs w:val="24"/>
        </w:rPr>
      </w:pPr>
      <w:r w:rsidRPr="002E410F">
        <w:rPr>
          <w:rFonts w:ascii="Arial" w:hAnsi="Arial"/>
          <w:sz w:val="24"/>
          <w:szCs w:val="24"/>
        </w:rPr>
        <w:t>Poorly selected projects will generate sub-optimal economic outcomes, even where their contractual arrangements, their structuring of public-private inputs relative to project circumstances, and their execution is efficient</w:t>
      </w:r>
      <w:r>
        <w:rPr>
          <w:rFonts w:ascii="Arial" w:hAnsi="Arial"/>
          <w:sz w:val="24"/>
          <w:szCs w:val="24"/>
        </w:rPr>
        <w:t xml:space="preserve">. </w:t>
      </w:r>
    </w:p>
    <w:p w14:paraId="77AAE72F" w14:textId="77777777" w:rsidR="00604E67" w:rsidRPr="002E410F" w:rsidRDefault="00604E67" w:rsidP="00604E67">
      <w:pPr>
        <w:spacing w:after="390" w:line="240" w:lineRule="auto"/>
        <w:rPr>
          <w:rFonts w:ascii="Arial" w:hAnsi="Arial"/>
          <w:sz w:val="24"/>
          <w:szCs w:val="24"/>
        </w:rPr>
      </w:pPr>
      <w:r w:rsidRPr="002E410F">
        <w:rPr>
          <w:rFonts w:ascii="Arial" w:hAnsi="Arial"/>
          <w:sz w:val="24"/>
          <w:szCs w:val="24"/>
        </w:rPr>
        <w:t>The flawed institutional arrangements and processes that result in, or contribute to, projects being poorly selected usually continue to impact upon the delivery stage.</w:t>
      </w:r>
    </w:p>
    <w:p w14:paraId="7273DB26" w14:textId="77777777" w:rsidR="00604E67" w:rsidRPr="002E410F" w:rsidRDefault="00604E67" w:rsidP="00604E67">
      <w:pPr>
        <w:spacing w:after="390" w:line="240" w:lineRule="auto"/>
        <w:rPr>
          <w:rFonts w:ascii="Arial" w:hAnsi="Arial"/>
          <w:sz w:val="24"/>
          <w:szCs w:val="24"/>
        </w:rPr>
      </w:pPr>
      <w:r w:rsidRPr="002E410F">
        <w:rPr>
          <w:rFonts w:ascii="Arial" w:hAnsi="Arial"/>
          <w:sz w:val="24"/>
          <w:szCs w:val="24"/>
        </w:rPr>
        <w:t>It follows that robust, transparent, and credible appraisals of the both the net and relative economic worth of projects are needed.</w:t>
      </w:r>
    </w:p>
    <w:p w14:paraId="61AB425B" w14:textId="77777777" w:rsidR="00604E67" w:rsidRPr="002E410F" w:rsidRDefault="00604E67" w:rsidP="00604E67">
      <w:pPr>
        <w:spacing w:after="390" w:line="240" w:lineRule="auto"/>
        <w:rPr>
          <w:rFonts w:ascii="Arial" w:hAnsi="Arial"/>
          <w:sz w:val="24"/>
          <w:szCs w:val="24"/>
        </w:rPr>
      </w:pPr>
      <w:r w:rsidRPr="002E410F">
        <w:rPr>
          <w:rFonts w:ascii="Arial" w:hAnsi="Arial"/>
          <w:sz w:val="24"/>
          <w:szCs w:val="24"/>
        </w:rPr>
        <w:t>Greater accuracy and transparency in the production of these should help to maintain financial market confidence in institutional rule-based arrangements designed to raise and maintain public investment at levels consistent with sustainable long-term economic growth.</w:t>
      </w:r>
    </w:p>
    <w:p w14:paraId="176170A2" w14:textId="5F991E2E" w:rsidR="00D67001" w:rsidRPr="00CA217C" w:rsidRDefault="00F47CF7" w:rsidP="00422EF9">
      <w:pPr>
        <w:spacing w:after="390" w:line="240" w:lineRule="auto"/>
        <w:rPr>
          <w:rFonts w:ascii="Arial" w:hAnsi="Arial"/>
          <w:sz w:val="24"/>
          <w:szCs w:val="24"/>
        </w:rPr>
      </w:pPr>
      <w:r>
        <w:rPr>
          <w:rFonts w:ascii="Arial" w:hAnsi="Arial"/>
          <w:sz w:val="24"/>
          <w:szCs w:val="24"/>
        </w:rPr>
        <w:lastRenderedPageBreak/>
        <w:t xml:space="preserve">In that light, the NIC remit </w:t>
      </w:r>
      <w:r w:rsidR="00604E67">
        <w:rPr>
          <w:rFonts w:ascii="Arial" w:hAnsi="Arial"/>
          <w:sz w:val="24"/>
          <w:szCs w:val="24"/>
        </w:rPr>
        <w:t>s</w:t>
      </w:r>
      <w:r w:rsidR="00A11920">
        <w:rPr>
          <w:rFonts w:ascii="Arial" w:hAnsi="Arial"/>
          <w:sz w:val="24"/>
          <w:szCs w:val="24"/>
        </w:rPr>
        <w:t>hould also</w:t>
      </w:r>
      <w:r w:rsidR="0037751A">
        <w:rPr>
          <w:rFonts w:ascii="Arial" w:hAnsi="Arial"/>
          <w:sz w:val="24"/>
          <w:szCs w:val="24"/>
        </w:rPr>
        <w:t xml:space="preserve"> </w:t>
      </w:r>
      <w:r w:rsidR="00CB6454" w:rsidRPr="00CA217C">
        <w:rPr>
          <w:rFonts w:ascii="Arial" w:hAnsi="Arial"/>
          <w:sz w:val="24"/>
          <w:szCs w:val="24"/>
        </w:rPr>
        <w:t xml:space="preserve">be extended to </w:t>
      </w:r>
      <w:r w:rsidR="00422EF9" w:rsidRPr="00CA217C">
        <w:rPr>
          <w:rFonts w:ascii="Arial" w:hAnsi="Arial"/>
          <w:sz w:val="24"/>
          <w:szCs w:val="24"/>
        </w:rPr>
        <w:t>assist each government department to publish an annual Departmental Investment Plan (DIP).</w:t>
      </w:r>
    </w:p>
    <w:p w14:paraId="5E366ACB" w14:textId="5B6EE121" w:rsidR="00422EF9" w:rsidRDefault="00422EF9" w:rsidP="00422EF9">
      <w:pPr>
        <w:spacing w:after="390" w:line="240" w:lineRule="auto"/>
        <w:rPr>
          <w:rFonts w:ascii="Arial" w:hAnsi="Arial"/>
          <w:sz w:val="24"/>
          <w:szCs w:val="24"/>
        </w:rPr>
      </w:pPr>
      <w:r w:rsidRPr="00CA217C">
        <w:rPr>
          <w:rFonts w:ascii="Arial" w:hAnsi="Arial"/>
          <w:sz w:val="24"/>
          <w:szCs w:val="24"/>
        </w:rPr>
        <w:t>Each DIP should prioritise projects according to their estimated economic and social return, incorporating auditable information on the methodology applied to rank projects according to their expected return.</w:t>
      </w:r>
    </w:p>
    <w:p w14:paraId="7B7B08AA" w14:textId="77777777" w:rsidR="0036284D" w:rsidRPr="002E410F" w:rsidRDefault="0036284D" w:rsidP="0036284D">
      <w:pPr>
        <w:spacing w:after="390" w:line="240" w:lineRule="auto"/>
        <w:rPr>
          <w:rFonts w:ascii="Arial" w:hAnsi="Arial"/>
          <w:sz w:val="24"/>
          <w:szCs w:val="24"/>
        </w:rPr>
      </w:pPr>
      <w:r w:rsidRPr="002E410F">
        <w:rPr>
          <w:rFonts w:ascii="Arial" w:hAnsi="Arial"/>
          <w:sz w:val="24"/>
          <w:szCs w:val="24"/>
        </w:rPr>
        <w:t xml:space="preserve">Optimal ranking of the relative macro-economic worth of competing projects is, however, difficult to achieve in practice for many reasons. </w:t>
      </w:r>
    </w:p>
    <w:p w14:paraId="3A085DC4" w14:textId="77777777" w:rsidR="0036284D" w:rsidRPr="002E410F" w:rsidRDefault="0036284D" w:rsidP="0036284D">
      <w:pPr>
        <w:spacing w:after="390" w:line="240" w:lineRule="auto"/>
        <w:rPr>
          <w:rFonts w:ascii="Arial" w:hAnsi="Arial"/>
          <w:sz w:val="24"/>
          <w:szCs w:val="24"/>
        </w:rPr>
      </w:pPr>
      <w:r w:rsidRPr="002E410F">
        <w:rPr>
          <w:rFonts w:ascii="Arial" w:hAnsi="Arial"/>
          <w:sz w:val="24"/>
          <w:szCs w:val="24"/>
        </w:rPr>
        <w:t>These include the complexity of the wider policy environment in which the selection and prioritisation takes place and the related need to balance competing multiple objectives, contingent political pressures that can favour some projects for reasons other than their economic and overall worth, as well as capacity constraints within the public sector to apply effectively project appraisal methodologies, which like all economic tools, are also only as robust as their underlying assumptions allow them to be.</w:t>
      </w:r>
    </w:p>
    <w:p w14:paraId="3A733502" w14:textId="52B09D4F" w:rsidR="00890238" w:rsidRPr="00CA217C" w:rsidRDefault="0036284D" w:rsidP="00422EF9">
      <w:pPr>
        <w:spacing w:after="390" w:line="240" w:lineRule="auto"/>
        <w:rPr>
          <w:rFonts w:ascii="Arial" w:hAnsi="Arial"/>
          <w:sz w:val="24"/>
          <w:szCs w:val="24"/>
        </w:rPr>
      </w:pPr>
      <w:r>
        <w:rPr>
          <w:rFonts w:ascii="Arial" w:hAnsi="Arial"/>
          <w:sz w:val="24"/>
          <w:szCs w:val="24"/>
        </w:rPr>
        <w:t>It is therefore vital the</w:t>
      </w:r>
      <w:r w:rsidR="001043BC" w:rsidRPr="00CA217C">
        <w:rPr>
          <w:rFonts w:ascii="Arial" w:hAnsi="Arial"/>
          <w:sz w:val="24"/>
          <w:szCs w:val="24"/>
        </w:rPr>
        <w:t xml:space="preserve"> NIC </w:t>
      </w:r>
      <w:r w:rsidR="00422EF9" w:rsidRPr="00CA217C">
        <w:rPr>
          <w:rFonts w:ascii="Arial" w:hAnsi="Arial"/>
          <w:sz w:val="24"/>
          <w:szCs w:val="24"/>
        </w:rPr>
        <w:t xml:space="preserve">should also be tasked and resourced to expand the pool of personnel skilled and experienced enough to conduct the project appraisals underpinning the plans. </w:t>
      </w:r>
    </w:p>
    <w:p w14:paraId="68ABD020" w14:textId="04EDADA8" w:rsidR="00422EF9" w:rsidRPr="00CA217C" w:rsidRDefault="00422EF9" w:rsidP="00422EF9">
      <w:pPr>
        <w:spacing w:after="390" w:line="240" w:lineRule="auto"/>
        <w:rPr>
          <w:rFonts w:ascii="Arial" w:hAnsi="Arial"/>
          <w:sz w:val="24"/>
          <w:szCs w:val="24"/>
        </w:rPr>
      </w:pPr>
      <w:r w:rsidRPr="00CA217C">
        <w:rPr>
          <w:rFonts w:ascii="Arial" w:hAnsi="Arial"/>
          <w:sz w:val="24"/>
          <w:szCs w:val="24"/>
        </w:rPr>
        <w:t>Partnerships with universities and the private sector could also be developed in order to develop the methodological base and to enlarge and deepen the skill set of apprais</w:t>
      </w:r>
      <w:r w:rsidR="0054154D" w:rsidRPr="00CA217C">
        <w:rPr>
          <w:rFonts w:ascii="Arial" w:hAnsi="Arial"/>
          <w:sz w:val="24"/>
          <w:szCs w:val="24"/>
        </w:rPr>
        <w:t>ers</w:t>
      </w:r>
      <w:r w:rsidRPr="00CA217C">
        <w:rPr>
          <w:rFonts w:ascii="Arial" w:hAnsi="Arial"/>
          <w:sz w:val="24"/>
          <w:szCs w:val="24"/>
        </w:rPr>
        <w:t>.</w:t>
      </w:r>
    </w:p>
    <w:p w14:paraId="0C91D3A8" w14:textId="1B2FE34F" w:rsidR="00FF3528" w:rsidRDefault="00422EF9" w:rsidP="00422EF9">
      <w:pPr>
        <w:spacing w:after="390" w:line="240" w:lineRule="auto"/>
        <w:rPr>
          <w:rFonts w:ascii="Arial" w:hAnsi="Arial"/>
          <w:sz w:val="24"/>
          <w:szCs w:val="24"/>
        </w:rPr>
      </w:pPr>
      <w:r w:rsidRPr="00CA217C">
        <w:rPr>
          <w:rFonts w:ascii="Arial" w:hAnsi="Arial"/>
          <w:sz w:val="24"/>
          <w:szCs w:val="24"/>
        </w:rPr>
        <w:t>The National Audit Office (NAO) should periodically audit DIP’s and their methodological bases.</w:t>
      </w:r>
    </w:p>
    <w:p w14:paraId="78417B48" w14:textId="4EC62E36" w:rsidR="001222AE" w:rsidRDefault="00552F51" w:rsidP="001222AE">
      <w:pPr>
        <w:spacing w:after="390" w:line="240" w:lineRule="auto"/>
        <w:rPr>
          <w:rFonts w:ascii="Arial" w:hAnsi="Arial"/>
          <w:sz w:val="24"/>
          <w:szCs w:val="24"/>
        </w:rPr>
      </w:pPr>
      <w:r>
        <w:rPr>
          <w:rFonts w:ascii="Arial" w:hAnsi="Arial"/>
          <w:sz w:val="24"/>
          <w:szCs w:val="24"/>
        </w:rPr>
        <w:t>T</w:t>
      </w:r>
      <w:r w:rsidR="001222AE" w:rsidRPr="002E410F">
        <w:rPr>
          <w:rFonts w:ascii="Arial" w:hAnsi="Arial"/>
          <w:sz w:val="24"/>
          <w:szCs w:val="24"/>
        </w:rPr>
        <w:t>he efficiency of public investment, as well as its overall macro-economic impact, will also depend on the availability of materials, equipment, and required inputs of skilled labour and other supply side conditions.</w:t>
      </w:r>
    </w:p>
    <w:p w14:paraId="17B5B716" w14:textId="22749149" w:rsidR="004C4E19" w:rsidRDefault="004C4E19" w:rsidP="001222AE">
      <w:pPr>
        <w:spacing w:after="390" w:line="240" w:lineRule="auto"/>
        <w:rPr>
          <w:rFonts w:ascii="Arial" w:hAnsi="Arial"/>
          <w:sz w:val="24"/>
          <w:szCs w:val="24"/>
        </w:rPr>
      </w:pPr>
      <w:r>
        <w:rPr>
          <w:rFonts w:ascii="Arial" w:hAnsi="Arial"/>
          <w:sz w:val="24"/>
          <w:szCs w:val="24"/>
        </w:rPr>
        <w:t xml:space="preserve">The future availability </w:t>
      </w:r>
      <w:r w:rsidR="00C4254E">
        <w:rPr>
          <w:rFonts w:ascii="Arial" w:hAnsi="Arial"/>
          <w:sz w:val="24"/>
          <w:szCs w:val="24"/>
        </w:rPr>
        <w:t xml:space="preserve">of these inputs relative to the requirements of the Infrastructure Pipeline should </w:t>
      </w:r>
      <w:r w:rsidR="00552F51">
        <w:rPr>
          <w:rFonts w:ascii="Arial" w:hAnsi="Arial"/>
          <w:sz w:val="24"/>
          <w:szCs w:val="24"/>
        </w:rPr>
        <w:t>be subject to joint IPA-</w:t>
      </w:r>
      <w:r w:rsidR="00737A2E">
        <w:rPr>
          <w:rFonts w:ascii="Arial" w:hAnsi="Arial"/>
          <w:sz w:val="24"/>
          <w:szCs w:val="24"/>
        </w:rPr>
        <w:t>NIC</w:t>
      </w:r>
      <w:r w:rsidR="00552F51">
        <w:rPr>
          <w:rFonts w:ascii="Arial" w:hAnsi="Arial"/>
          <w:sz w:val="24"/>
          <w:szCs w:val="24"/>
        </w:rPr>
        <w:t xml:space="preserve"> review </w:t>
      </w:r>
      <w:r w:rsidR="00737A2E">
        <w:rPr>
          <w:rFonts w:ascii="Arial" w:hAnsi="Arial"/>
          <w:sz w:val="24"/>
          <w:szCs w:val="24"/>
        </w:rPr>
        <w:t>in partnership with the private se</w:t>
      </w:r>
      <w:r w:rsidR="00F61C0D">
        <w:rPr>
          <w:rFonts w:ascii="Arial" w:hAnsi="Arial"/>
          <w:sz w:val="24"/>
          <w:szCs w:val="24"/>
        </w:rPr>
        <w:t xml:space="preserve">ctor. </w:t>
      </w:r>
    </w:p>
    <w:p w14:paraId="4118121A" w14:textId="3CC7CDA8" w:rsidR="00320DA8" w:rsidRDefault="00320DA8" w:rsidP="00320DA8">
      <w:pPr>
        <w:spacing w:after="390" w:line="240" w:lineRule="auto"/>
        <w:rPr>
          <w:rFonts w:ascii="Arial" w:hAnsi="Arial"/>
          <w:sz w:val="24"/>
          <w:szCs w:val="24"/>
        </w:rPr>
      </w:pPr>
      <w:r w:rsidRPr="002E410F">
        <w:rPr>
          <w:rFonts w:ascii="Arial" w:hAnsi="Arial"/>
          <w:sz w:val="24"/>
          <w:szCs w:val="24"/>
        </w:rPr>
        <w:t>Varying investment levels to regulate aggregate demand is likely to be contrary to the efficient planning and delivery of the investment pipeline and projects, which rather requires</w:t>
      </w:r>
      <w:r w:rsidR="004B35A7">
        <w:rPr>
          <w:rFonts w:ascii="Arial" w:hAnsi="Arial"/>
          <w:sz w:val="24"/>
          <w:szCs w:val="24"/>
        </w:rPr>
        <w:t xml:space="preserve"> movement to </w:t>
      </w:r>
      <w:r w:rsidR="001B7B9C">
        <w:rPr>
          <w:rFonts w:ascii="Arial" w:hAnsi="Arial"/>
          <w:sz w:val="24"/>
          <w:szCs w:val="24"/>
        </w:rPr>
        <w:t>a</w:t>
      </w:r>
      <w:r w:rsidRPr="002E410F">
        <w:rPr>
          <w:rFonts w:ascii="Arial" w:hAnsi="Arial"/>
          <w:sz w:val="24"/>
          <w:szCs w:val="24"/>
        </w:rPr>
        <w:t xml:space="preserve"> </w:t>
      </w:r>
      <w:r w:rsidR="004B35A7" w:rsidRPr="002E410F">
        <w:rPr>
          <w:rFonts w:ascii="Arial" w:hAnsi="Arial"/>
          <w:sz w:val="24"/>
          <w:szCs w:val="24"/>
        </w:rPr>
        <w:t>steady state</w:t>
      </w:r>
      <w:r w:rsidRPr="002E410F">
        <w:rPr>
          <w:rFonts w:ascii="Arial" w:hAnsi="Arial"/>
          <w:sz w:val="24"/>
          <w:szCs w:val="24"/>
        </w:rPr>
        <w:t xml:space="preserve"> planned and </w:t>
      </w:r>
      <w:r w:rsidR="00AC3685" w:rsidRPr="002E410F">
        <w:rPr>
          <w:rFonts w:ascii="Arial" w:hAnsi="Arial"/>
          <w:sz w:val="24"/>
          <w:szCs w:val="24"/>
        </w:rPr>
        <w:t>coordinated</w:t>
      </w:r>
      <w:r w:rsidRPr="002E410F">
        <w:rPr>
          <w:rFonts w:ascii="Arial" w:hAnsi="Arial"/>
          <w:sz w:val="24"/>
          <w:szCs w:val="24"/>
        </w:rPr>
        <w:t xml:space="preserve"> level</w:t>
      </w:r>
      <w:r w:rsidR="00097956">
        <w:rPr>
          <w:rFonts w:ascii="Arial" w:hAnsi="Arial"/>
          <w:sz w:val="24"/>
          <w:szCs w:val="24"/>
        </w:rPr>
        <w:t xml:space="preserve">, </w:t>
      </w:r>
      <w:r w:rsidR="007777D6">
        <w:rPr>
          <w:rFonts w:ascii="Arial" w:hAnsi="Arial"/>
          <w:sz w:val="24"/>
          <w:szCs w:val="24"/>
        </w:rPr>
        <w:t>which such planning should assist</w:t>
      </w:r>
      <w:r w:rsidRPr="002E410F">
        <w:rPr>
          <w:rFonts w:ascii="Arial" w:hAnsi="Arial"/>
          <w:sz w:val="24"/>
          <w:szCs w:val="24"/>
        </w:rPr>
        <w:t>.</w:t>
      </w:r>
    </w:p>
    <w:p w14:paraId="58297B4C" w14:textId="4A6C0792" w:rsidR="005D405F" w:rsidRDefault="005D405F">
      <w:pPr>
        <w:rPr>
          <w:rFonts w:ascii="Arial" w:hAnsi="Arial"/>
          <w:sz w:val="24"/>
          <w:szCs w:val="24"/>
        </w:rPr>
      </w:pPr>
      <w:r>
        <w:rPr>
          <w:rFonts w:ascii="Arial" w:hAnsi="Arial"/>
          <w:sz w:val="24"/>
          <w:szCs w:val="24"/>
        </w:rPr>
        <w:br w:type="page"/>
      </w:r>
    </w:p>
    <w:p w14:paraId="32B536D6" w14:textId="65B8F9DA" w:rsidR="000958B9" w:rsidRPr="0017631A" w:rsidRDefault="004468FA" w:rsidP="0017631A">
      <w:pPr>
        <w:pStyle w:val="ListParagraph"/>
        <w:numPr>
          <w:ilvl w:val="0"/>
          <w:numId w:val="19"/>
        </w:numPr>
        <w:spacing w:after="0" w:line="240" w:lineRule="auto"/>
        <w:rPr>
          <w:rFonts w:ascii="Arial" w:eastAsia="Times New Roman" w:hAnsi="Arial" w:cs="Arial"/>
          <w:b/>
          <w:sz w:val="24"/>
          <w:szCs w:val="24"/>
          <w:lang w:val="en-GB" w:eastAsia="en-GB"/>
        </w:rPr>
      </w:pPr>
      <w:r w:rsidRPr="0017631A">
        <w:rPr>
          <w:rFonts w:ascii="Arial" w:eastAsia="Times New Roman" w:hAnsi="Arial" w:cs="Arial"/>
          <w:b/>
          <w:sz w:val="24"/>
          <w:szCs w:val="24"/>
          <w:lang w:val="en-GB" w:eastAsia="en-GB"/>
        </w:rPr>
        <w:lastRenderedPageBreak/>
        <w:t xml:space="preserve">The achievement </w:t>
      </w:r>
      <w:r w:rsidR="005B3CF5" w:rsidRPr="0017631A">
        <w:rPr>
          <w:rFonts w:ascii="Arial" w:eastAsia="Times New Roman" w:hAnsi="Arial" w:cs="Arial"/>
          <w:b/>
          <w:sz w:val="24"/>
          <w:szCs w:val="24"/>
          <w:lang w:val="en-GB" w:eastAsia="en-GB"/>
        </w:rPr>
        <w:t>of</w:t>
      </w:r>
      <w:r w:rsidR="000958B9" w:rsidRPr="0017631A">
        <w:rPr>
          <w:rFonts w:ascii="Arial" w:eastAsia="Times New Roman" w:hAnsi="Arial" w:cs="Arial"/>
          <w:b/>
          <w:sz w:val="24"/>
          <w:szCs w:val="24"/>
          <w:lang w:val="en-GB" w:eastAsia="en-GB"/>
        </w:rPr>
        <w:t xml:space="preserve"> </w:t>
      </w:r>
      <w:r w:rsidR="002A0C9F" w:rsidRPr="0017631A">
        <w:rPr>
          <w:rFonts w:ascii="Arial" w:eastAsia="Times New Roman" w:hAnsi="Arial" w:cs="Arial"/>
          <w:b/>
          <w:sz w:val="24"/>
          <w:szCs w:val="24"/>
          <w:lang w:val="en-GB" w:eastAsia="en-GB"/>
        </w:rPr>
        <w:t>whole project-life efficienc</w:t>
      </w:r>
      <w:r w:rsidR="000958B9" w:rsidRPr="0017631A">
        <w:rPr>
          <w:rFonts w:ascii="Arial" w:eastAsia="Times New Roman" w:hAnsi="Arial" w:cs="Arial"/>
          <w:b/>
          <w:sz w:val="24"/>
          <w:szCs w:val="24"/>
          <w:lang w:val="en-GB" w:eastAsia="en-GB"/>
        </w:rPr>
        <w:t>y</w:t>
      </w:r>
    </w:p>
    <w:p w14:paraId="0F58BEBD" w14:textId="5A99FFD9" w:rsidR="00957569" w:rsidRDefault="00957569" w:rsidP="00854047">
      <w:pPr>
        <w:spacing w:after="0" w:line="240" w:lineRule="auto"/>
        <w:rPr>
          <w:rFonts w:ascii="Arial" w:eastAsia="Times New Roman" w:hAnsi="Arial" w:cs="Arial"/>
          <w:sz w:val="24"/>
          <w:szCs w:val="24"/>
          <w:lang w:val="en-GB" w:eastAsia="en-GB"/>
        </w:rPr>
      </w:pPr>
    </w:p>
    <w:p w14:paraId="60F90198" w14:textId="7B1313B7" w:rsidR="00957569" w:rsidRDefault="00957569" w:rsidP="00854047">
      <w:pPr>
        <w:spacing w:after="0" w:line="240" w:lineRule="auto"/>
        <w:rPr>
          <w:rFonts w:ascii="Arial" w:eastAsia="Times New Roman" w:hAnsi="Arial" w:cs="Arial"/>
          <w:sz w:val="24"/>
          <w:szCs w:val="24"/>
          <w:lang w:val="en-GB" w:eastAsia="en-GB"/>
        </w:rPr>
      </w:pPr>
      <w:r w:rsidRPr="00957569">
        <w:rPr>
          <w:rFonts w:ascii="Arial" w:eastAsia="Times New Roman" w:hAnsi="Arial" w:cs="Arial"/>
          <w:sz w:val="24"/>
          <w:szCs w:val="24"/>
          <w:lang w:val="en-GB" w:eastAsia="en-GB"/>
        </w:rPr>
        <w:t>The public sector spends more money on contracts than it spends on providing services itself. During 2014-15</w:t>
      </w:r>
      <w:r w:rsidR="00633408">
        <w:rPr>
          <w:rFonts w:ascii="Arial" w:eastAsia="Times New Roman" w:hAnsi="Arial" w:cs="Arial"/>
          <w:sz w:val="24"/>
          <w:szCs w:val="24"/>
          <w:lang w:val="en-GB" w:eastAsia="en-GB"/>
        </w:rPr>
        <w:t xml:space="preserve">, according to </w:t>
      </w:r>
      <w:hyperlink r:id="rId19" w:history="1">
        <w:r w:rsidR="003A54C7" w:rsidRPr="003A54C7">
          <w:rPr>
            <w:rStyle w:val="Hyperlink"/>
            <w:rFonts w:ascii="Arial" w:eastAsia="Times New Roman" w:hAnsi="Arial" w:cs="Arial"/>
            <w:sz w:val="24"/>
            <w:szCs w:val="24"/>
            <w:lang w:val="en-GB" w:eastAsia="en-GB"/>
          </w:rPr>
          <w:t>NAO PF1 and PF2 report</w:t>
        </w:r>
      </w:hyperlink>
      <w:r w:rsidR="00633408">
        <w:rPr>
          <w:rFonts w:ascii="Arial" w:eastAsia="Times New Roman" w:hAnsi="Arial" w:cs="Arial"/>
          <w:sz w:val="24"/>
          <w:szCs w:val="24"/>
          <w:lang w:val="en-GB" w:eastAsia="en-GB"/>
        </w:rPr>
        <w:t>,</w:t>
      </w:r>
      <w:r w:rsidRPr="00957569">
        <w:rPr>
          <w:rFonts w:ascii="Arial" w:eastAsia="Times New Roman" w:hAnsi="Arial" w:cs="Arial"/>
          <w:sz w:val="24"/>
          <w:szCs w:val="24"/>
          <w:lang w:val="en-GB" w:eastAsia="en-GB"/>
        </w:rPr>
        <w:t xml:space="preserve"> it spent £242</w:t>
      </w:r>
      <w:r w:rsidR="00037F99">
        <w:rPr>
          <w:rFonts w:ascii="Arial" w:eastAsia="Times New Roman" w:hAnsi="Arial" w:cs="Arial"/>
          <w:sz w:val="24"/>
          <w:szCs w:val="24"/>
          <w:lang w:val="en-GB" w:eastAsia="en-GB"/>
        </w:rPr>
        <w:t xml:space="preserve">bn </w:t>
      </w:r>
      <w:r w:rsidRPr="00957569">
        <w:rPr>
          <w:rFonts w:ascii="Arial" w:eastAsia="Times New Roman" w:hAnsi="Arial" w:cs="Arial"/>
          <w:sz w:val="24"/>
          <w:szCs w:val="24"/>
          <w:lang w:val="en-GB" w:eastAsia="en-GB"/>
        </w:rPr>
        <w:t>(31% of total government spending) on external suppliers, compared with £194</w:t>
      </w:r>
      <w:r w:rsidR="00037F99">
        <w:rPr>
          <w:rFonts w:ascii="Arial" w:eastAsia="Times New Roman" w:hAnsi="Arial" w:cs="Arial"/>
          <w:sz w:val="24"/>
          <w:szCs w:val="24"/>
          <w:lang w:val="en-GB" w:eastAsia="en-GB"/>
        </w:rPr>
        <w:t xml:space="preserve">bn </w:t>
      </w:r>
      <w:r w:rsidRPr="00957569">
        <w:rPr>
          <w:rFonts w:ascii="Arial" w:eastAsia="Times New Roman" w:hAnsi="Arial" w:cs="Arial"/>
          <w:sz w:val="24"/>
          <w:szCs w:val="24"/>
          <w:lang w:val="en-GB" w:eastAsia="en-GB"/>
        </w:rPr>
        <w:t>on staff costs.</w:t>
      </w:r>
    </w:p>
    <w:p w14:paraId="125C6379" w14:textId="7D60CEFA" w:rsidR="00264AF7" w:rsidRDefault="00264AF7" w:rsidP="00854047">
      <w:pPr>
        <w:spacing w:after="0" w:line="240" w:lineRule="auto"/>
        <w:rPr>
          <w:rFonts w:ascii="Arial" w:eastAsia="Times New Roman" w:hAnsi="Arial" w:cs="Arial"/>
          <w:sz w:val="24"/>
          <w:szCs w:val="24"/>
          <w:lang w:val="en-GB" w:eastAsia="en-GB"/>
        </w:rPr>
      </w:pPr>
    </w:p>
    <w:p w14:paraId="4028DF75" w14:textId="3C687BCC" w:rsidR="00633064" w:rsidRDefault="00910244" w:rsidP="002E6A6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According to that </w:t>
      </w:r>
      <w:r w:rsidR="00A16BF8">
        <w:rPr>
          <w:rFonts w:ascii="Arial" w:eastAsia="Times New Roman" w:hAnsi="Arial" w:cs="Arial"/>
          <w:sz w:val="24"/>
          <w:szCs w:val="24"/>
          <w:lang w:val="en-GB" w:eastAsia="en-GB"/>
        </w:rPr>
        <w:t xml:space="preserve">same </w:t>
      </w:r>
      <w:r>
        <w:rPr>
          <w:rFonts w:ascii="Arial" w:eastAsia="Times New Roman" w:hAnsi="Arial" w:cs="Arial"/>
          <w:sz w:val="24"/>
          <w:szCs w:val="24"/>
          <w:lang w:val="en-GB" w:eastAsia="en-GB"/>
        </w:rPr>
        <w:t>report, t</w:t>
      </w:r>
      <w:r w:rsidR="00264AF7" w:rsidRPr="00264AF7">
        <w:rPr>
          <w:rFonts w:ascii="Arial" w:eastAsia="Times New Roman" w:hAnsi="Arial" w:cs="Arial"/>
          <w:sz w:val="24"/>
          <w:szCs w:val="24"/>
          <w:lang w:val="en-GB" w:eastAsia="en-GB"/>
        </w:rPr>
        <w:t>here are currently over 700 operational PFI and PF2 deals, with a capital value of around £60</w:t>
      </w:r>
      <w:r w:rsidR="00037F99">
        <w:rPr>
          <w:rFonts w:ascii="Arial" w:eastAsia="Times New Roman" w:hAnsi="Arial" w:cs="Arial"/>
          <w:sz w:val="24"/>
          <w:szCs w:val="24"/>
          <w:lang w:val="en-GB" w:eastAsia="en-GB"/>
        </w:rPr>
        <w:t>n</w:t>
      </w:r>
      <w:r w:rsidR="00264AF7" w:rsidRPr="00264AF7">
        <w:rPr>
          <w:rFonts w:ascii="Arial" w:eastAsia="Times New Roman" w:hAnsi="Arial" w:cs="Arial"/>
          <w:sz w:val="24"/>
          <w:szCs w:val="24"/>
          <w:lang w:val="en-GB" w:eastAsia="en-GB"/>
        </w:rPr>
        <w:t xml:space="preserve">n. </w:t>
      </w:r>
      <w:r w:rsidR="00CF185A">
        <w:rPr>
          <w:rFonts w:ascii="Arial" w:eastAsia="Times New Roman" w:hAnsi="Arial" w:cs="Arial"/>
          <w:sz w:val="24"/>
          <w:szCs w:val="24"/>
          <w:lang w:val="en-GB" w:eastAsia="en-GB"/>
        </w:rPr>
        <w:t>Although</w:t>
      </w:r>
      <w:r w:rsidR="002E6A67">
        <w:rPr>
          <w:rFonts w:ascii="Arial" w:eastAsia="Times New Roman" w:hAnsi="Arial" w:cs="Arial"/>
          <w:sz w:val="24"/>
          <w:szCs w:val="24"/>
          <w:lang w:val="en-GB" w:eastAsia="en-GB"/>
        </w:rPr>
        <w:t xml:space="preserve"> </w:t>
      </w:r>
      <w:r w:rsidR="002E6A67" w:rsidRPr="002E6A67">
        <w:rPr>
          <w:rFonts w:ascii="Arial" w:eastAsia="Times New Roman" w:hAnsi="Arial" w:cs="Arial"/>
          <w:sz w:val="24"/>
          <w:szCs w:val="24"/>
          <w:lang w:val="en-GB" w:eastAsia="en-GB"/>
        </w:rPr>
        <w:t xml:space="preserve">capital investment using PFI and PF2 </w:t>
      </w:r>
      <w:r w:rsidR="005A1021">
        <w:rPr>
          <w:rFonts w:ascii="Arial" w:eastAsia="Times New Roman" w:hAnsi="Arial" w:cs="Arial"/>
          <w:sz w:val="24"/>
          <w:szCs w:val="24"/>
          <w:lang w:val="en-GB" w:eastAsia="en-GB"/>
        </w:rPr>
        <w:t>has over past 20 years</w:t>
      </w:r>
      <w:r w:rsidR="002E6A67" w:rsidRPr="002E6A67">
        <w:rPr>
          <w:rFonts w:ascii="Arial" w:eastAsia="Times New Roman" w:hAnsi="Arial" w:cs="Arial"/>
          <w:sz w:val="24"/>
          <w:szCs w:val="24"/>
          <w:lang w:val="en-GB" w:eastAsia="en-GB"/>
        </w:rPr>
        <w:t xml:space="preserve"> averaged around £3</w:t>
      </w:r>
      <w:r w:rsidR="00037F99">
        <w:rPr>
          <w:rFonts w:ascii="Arial" w:eastAsia="Times New Roman" w:hAnsi="Arial" w:cs="Arial"/>
          <w:sz w:val="24"/>
          <w:szCs w:val="24"/>
          <w:lang w:val="en-GB" w:eastAsia="en-GB"/>
        </w:rPr>
        <w:t>bn</w:t>
      </w:r>
      <w:r w:rsidR="002E6A67" w:rsidRPr="002E6A67">
        <w:rPr>
          <w:rFonts w:ascii="Arial" w:eastAsia="Times New Roman" w:hAnsi="Arial" w:cs="Arial"/>
          <w:sz w:val="24"/>
          <w:szCs w:val="24"/>
          <w:lang w:val="en-GB" w:eastAsia="en-GB"/>
        </w:rPr>
        <w:t xml:space="preserve"> a year – </w:t>
      </w:r>
      <w:r w:rsidR="005A1021">
        <w:rPr>
          <w:rFonts w:ascii="Arial" w:eastAsia="Times New Roman" w:hAnsi="Arial" w:cs="Arial"/>
          <w:sz w:val="24"/>
          <w:szCs w:val="24"/>
          <w:lang w:val="en-GB" w:eastAsia="en-GB"/>
        </w:rPr>
        <w:t xml:space="preserve">compared to </w:t>
      </w:r>
      <w:r w:rsidR="002E6A67" w:rsidRPr="002E6A67">
        <w:rPr>
          <w:rFonts w:ascii="Arial" w:eastAsia="Times New Roman" w:hAnsi="Arial" w:cs="Arial"/>
          <w:sz w:val="24"/>
          <w:szCs w:val="24"/>
          <w:lang w:val="en-GB" w:eastAsia="en-GB"/>
        </w:rPr>
        <w:t xml:space="preserve">publicly financed government capital investment </w:t>
      </w:r>
      <w:r w:rsidR="00AD177F">
        <w:rPr>
          <w:rFonts w:ascii="Arial" w:eastAsia="Times New Roman" w:hAnsi="Arial" w:cs="Arial"/>
          <w:sz w:val="24"/>
          <w:szCs w:val="24"/>
          <w:lang w:val="en-GB" w:eastAsia="en-GB"/>
        </w:rPr>
        <w:t>of</w:t>
      </w:r>
      <w:r w:rsidR="002E6A67" w:rsidRPr="002E6A67">
        <w:rPr>
          <w:rFonts w:ascii="Arial" w:eastAsia="Times New Roman" w:hAnsi="Arial" w:cs="Arial"/>
          <w:sz w:val="24"/>
          <w:szCs w:val="24"/>
          <w:lang w:val="en-GB" w:eastAsia="en-GB"/>
        </w:rPr>
        <w:t xml:space="preserve"> around £50</w:t>
      </w:r>
      <w:r w:rsidR="00037F99">
        <w:rPr>
          <w:rFonts w:ascii="Arial" w:eastAsia="Times New Roman" w:hAnsi="Arial" w:cs="Arial"/>
          <w:sz w:val="24"/>
          <w:szCs w:val="24"/>
          <w:lang w:val="en-GB" w:eastAsia="en-GB"/>
        </w:rPr>
        <w:t>bn</w:t>
      </w:r>
      <w:r w:rsidR="002E6A67" w:rsidRPr="002E6A67">
        <w:rPr>
          <w:rFonts w:ascii="Arial" w:eastAsia="Times New Roman" w:hAnsi="Arial" w:cs="Arial"/>
          <w:sz w:val="24"/>
          <w:szCs w:val="24"/>
          <w:lang w:val="en-GB" w:eastAsia="en-GB"/>
        </w:rPr>
        <w:t xml:space="preserve"> a year</w:t>
      </w:r>
      <w:r w:rsidR="00AD177F">
        <w:rPr>
          <w:rFonts w:ascii="Arial" w:eastAsia="Times New Roman" w:hAnsi="Arial" w:cs="Arial"/>
          <w:sz w:val="24"/>
          <w:szCs w:val="24"/>
          <w:lang w:val="en-GB" w:eastAsia="en-GB"/>
        </w:rPr>
        <w:t xml:space="preserve"> - a</w:t>
      </w:r>
      <w:r w:rsidR="00264AF7" w:rsidRPr="00264AF7">
        <w:rPr>
          <w:rFonts w:ascii="Arial" w:eastAsia="Times New Roman" w:hAnsi="Arial" w:cs="Arial"/>
          <w:sz w:val="24"/>
          <w:szCs w:val="24"/>
          <w:lang w:val="en-GB" w:eastAsia="en-GB"/>
        </w:rPr>
        <w:t xml:space="preserve">nnual charges for these deals amounted to </w:t>
      </w:r>
      <w:r w:rsidR="00AD177F">
        <w:rPr>
          <w:rFonts w:ascii="Arial" w:eastAsia="Times New Roman" w:hAnsi="Arial" w:cs="Arial"/>
          <w:sz w:val="24"/>
          <w:szCs w:val="24"/>
          <w:lang w:val="en-GB" w:eastAsia="en-GB"/>
        </w:rPr>
        <w:t xml:space="preserve">a whopping </w:t>
      </w:r>
      <w:bookmarkStart w:id="3" w:name="_Hlk11009771"/>
      <w:r w:rsidR="00264AF7" w:rsidRPr="00264AF7">
        <w:rPr>
          <w:rFonts w:ascii="Arial" w:eastAsia="Times New Roman" w:hAnsi="Arial" w:cs="Arial"/>
          <w:sz w:val="24"/>
          <w:szCs w:val="24"/>
          <w:lang w:val="en-GB" w:eastAsia="en-GB"/>
        </w:rPr>
        <w:t>£</w:t>
      </w:r>
      <w:bookmarkEnd w:id="3"/>
      <w:r w:rsidR="00264AF7" w:rsidRPr="00264AF7">
        <w:rPr>
          <w:rFonts w:ascii="Arial" w:eastAsia="Times New Roman" w:hAnsi="Arial" w:cs="Arial"/>
          <w:sz w:val="24"/>
          <w:szCs w:val="24"/>
          <w:lang w:val="en-GB" w:eastAsia="en-GB"/>
        </w:rPr>
        <w:t>10.3</w:t>
      </w:r>
      <w:r w:rsidR="00037F99">
        <w:rPr>
          <w:rFonts w:ascii="Arial" w:eastAsia="Times New Roman" w:hAnsi="Arial" w:cs="Arial"/>
          <w:sz w:val="24"/>
          <w:szCs w:val="24"/>
          <w:lang w:val="en-GB" w:eastAsia="en-GB"/>
        </w:rPr>
        <w:t>bn</w:t>
      </w:r>
      <w:r w:rsidR="00264AF7" w:rsidRPr="00264AF7">
        <w:rPr>
          <w:rFonts w:ascii="Arial" w:eastAsia="Times New Roman" w:hAnsi="Arial" w:cs="Arial"/>
          <w:sz w:val="24"/>
          <w:szCs w:val="24"/>
          <w:lang w:val="en-GB" w:eastAsia="en-GB"/>
        </w:rPr>
        <w:t xml:space="preserve"> in 2016-17.</w:t>
      </w:r>
    </w:p>
    <w:p w14:paraId="6707A004" w14:textId="77777777" w:rsidR="00633064" w:rsidRDefault="00633064" w:rsidP="002E6A67">
      <w:pPr>
        <w:spacing w:after="0" w:line="240" w:lineRule="auto"/>
        <w:rPr>
          <w:rFonts w:ascii="Arial" w:eastAsia="Times New Roman" w:hAnsi="Arial" w:cs="Arial"/>
          <w:sz w:val="24"/>
          <w:szCs w:val="24"/>
          <w:lang w:val="en-GB" w:eastAsia="en-GB"/>
        </w:rPr>
      </w:pPr>
    </w:p>
    <w:p w14:paraId="05F14B9A" w14:textId="5464CB33" w:rsidR="00264AF7" w:rsidRDefault="00633064" w:rsidP="002E6A6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Although there will be no new PFI</w:t>
      </w:r>
      <w:r w:rsidR="003F2C6A">
        <w:rPr>
          <w:rFonts w:ascii="Arial" w:eastAsia="Times New Roman" w:hAnsi="Arial" w:cs="Arial"/>
          <w:sz w:val="24"/>
          <w:szCs w:val="24"/>
          <w:lang w:val="en-GB" w:eastAsia="en-GB"/>
        </w:rPr>
        <w:t xml:space="preserve"> deals following the 2018 Budget </w:t>
      </w:r>
      <w:r w:rsidR="008026EB">
        <w:rPr>
          <w:rFonts w:ascii="Arial" w:eastAsia="Times New Roman" w:hAnsi="Arial" w:cs="Arial"/>
          <w:sz w:val="24"/>
          <w:szCs w:val="24"/>
          <w:lang w:val="en-GB" w:eastAsia="en-GB"/>
        </w:rPr>
        <w:t>announcement</w:t>
      </w:r>
      <w:r w:rsidR="00264AF7" w:rsidRPr="00264AF7">
        <w:rPr>
          <w:rFonts w:ascii="Arial" w:eastAsia="Times New Roman" w:hAnsi="Arial" w:cs="Arial"/>
          <w:sz w:val="24"/>
          <w:szCs w:val="24"/>
          <w:lang w:val="en-GB" w:eastAsia="en-GB"/>
        </w:rPr>
        <w:t xml:space="preserve">, future charges </w:t>
      </w:r>
      <w:r w:rsidR="003F2C6A">
        <w:rPr>
          <w:rFonts w:ascii="Arial" w:eastAsia="Times New Roman" w:hAnsi="Arial" w:cs="Arial"/>
          <w:sz w:val="24"/>
          <w:szCs w:val="24"/>
          <w:lang w:val="en-GB" w:eastAsia="en-GB"/>
        </w:rPr>
        <w:t xml:space="preserve">on existing deals </w:t>
      </w:r>
      <w:r w:rsidR="00D11101">
        <w:rPr>
          <w:rFonts w:ascii="Arial" w:eastAsia="Times New Roman" w:hAnsi="Arial" w:cs="Arial"/>
          <w:sz w:val="24"/>
          <w:szCs w:val="24"/>
          <w:lang w:val="en-GB" w:eastAsia="en-GB"/>
        </w:rPr>
        <w:t xml:space="preserve">will </w:t>
      </w:r>
      <w:r w:rsidR="00264AF7" w:rsidRPr="00264AF7">
        <w:rPr>
          <w:rFonts w:ascii="Arial" w:eastAsia="Times New Roman" w:hAnsi="Arial" w:cs="Arial"/>
          <w:sz w:val="24"/>
          <w:szCs w:val="24"/>
          <w:lang w:val="en-GB" w:eastAsia="en-GB"/>
        </w:rPr>
        <w:t>continue until the 2040s</w:t>
      </w:r>
      <w:r w:rsidR="00AD177F">
        <w:rPr>
          <w:rFonts w:ascii="Arial" w:eastAsia="Times New Roman" w:hAnsi="Arial" w:cs="Arial"/>
          <w:sz w:val="24"/>
          <w:szCs w:val="24"/>
          <w:lang w:val="en-GB" w:eastAsia="en-GB"/>
        </w:rPr>
        <w:t>, totalling</w:t>
      </w:r>
      <w:r w:rsidR="00717169">
        <w:rPr>
          <w:rFonts w:ascii="Arial" w:eastAsia="Times New Roman" w:hAnsi="Arial" w:cs="Arial"/>
          <w:sz w:val="24"/>
          <w:szCs w:val="24"/>
          <w:lang w:val="en-GB" w:eastAsia="en-GB"/>
        </w:rPr>
        <w:t xml:space="preserve"> in value c</w:t>
      </w:r>
      <w:r w:rsidR="00264AF7" w:rsidRPr="00264AF7">
        <w:rPr>
          <w:rFonts w:ascii="Arial" w:eastAsia="Times New Roman" w:hAnsi="Arial" w:cs="Arial"/>
          <w:sz w:val="24"/>
          <w:szCs w:val="24"/>
          <w:lang w:val="en-GB" w:eastAsia="en-GB"/>
        </w:rPr>
        <w:t>£</w:t>
      </w:r>
      <w:r w:rsidR="00717169">
        <w:rPr>
          <w:rFonts w:ascii="Arial" w:eastAsia="Times New Roman" w:hAnsi="Arial" w:cs="Arial"/>
          <w:sz w:val="24"/>
          <w:szCs w:val="24"/>
          <w:lang w:val="en-GB" w:eastAsia="en-GB"/>
        </w:rPr>
        <w:t>200bn</w:t>
      </w:r>
      <w:r w:rsidR="00910244">
        <w:rPr>
          <w:rFonts w:ascii="Arial" w:eastAsia="Times New Roman" w:hAnsi="Arial" w:cs="Arial"/>
          <w:sz w:val="24"/>
          <w:szCs w:val="24"/>
          <w:lang w:val="en-GB" w:eastAsia="en-GB"/>
        </w:rPr>
        <w:t xml:space="preserve">. </w:t>
      </w:r>
    </w:p>
    <w:p w14:paraId="336E2C47" w14:textId="77777777" w:rsidR="003A2AF1" w:rsidRDefault="003A2AF1" w:rsidP="00854047">
      <w:pPr>
        <w:spacing w:after="0" w:line="240" w:lineRule="auto"/>
        <w:rPr>
          <w:rFonts w:ascii="Arial" w:eastAsia="Times New Roman" w:hAnsi="Arial" w:cs="Arial"/>
          <w:sz w:val="24"/>
          <w:szCs w:val="24"/>
          <w:lang w:val="en-GB" w:eastAsia="en-GB"/>
        </w:rPr>
      </w:pPr>
    </w:p>
    <w:p w14:paraId="5141206D" w14:textId="77777777" w:rsidR="00F76228" w:rsidRDefault="00854047" w:rsidP="00854047">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 xml:space="preserve">The poor </w:t>
      </w:r>
      <w:r w:rsidR="00F61588">
        <w:rPr>
          <w:rFonts w:ascii="Arial" w:eastAsia="Times New Roman" w:hAnsi="Arial" w:cs="Arial"/>
          <w:sz w:val="24"/>
          <w:szCs w:val="24"/>
          <w:lang w:val="en-GB" w:eastAsia="en-GB"/>
        </w:rPr>
        <w:t xml:space="preserve">previous </w:t>
      </w:r>
      <w:r w:rsidRPr="00854047">
        <w:rPr>
          <w:rFonts w:ascii="Arial" w:eastAsia="Times New Roman" w:hAnsi="Arial" w:cs="Arial"/>
          <w:sz w:val="24"/>
          <w:szCs w:val="24"/>
          <w:lang w:val="en-GB" w:eastAsia="en-GB"/>
        </w:rPr>
        <w:t>public sector record in procuring and managing investment projects provided the ostentatious driver of the Treasury’s initial expansion of the Private Finance Initiative (PFI) programme back in the early nineties.</w:t>
      </w:r>
    </w:p>
    <w:p w14:paraId="0A3A4FF3" w14:textId="77777777" w:rsidR="00F76228" w:rsidRDefault="00F76228" w:rsidP="00854047">
      <w:pPr>
        <w:spacing w:after="0" w:line="240" w:lineRule="auto"/>
        <w:rPr>
          <w:rFonts w:ascii="Arial" w:eastAsia="Times New Roman" w:hAnsi="Arial" w:cs="Arial"/>
          <w:sz w:val="24"/>
          <w:szCs w:val="24"/>
          <w:lang w:val="en-GB" w:eastAsia="en-GB"/>
        </w:rPr>
      </w:pPr>
    </w:p>
    <w:p w14:paraId="4FAB11F0" w14:textId="7549AA02" w:rsidR="00185146" w:rsidRDefault="00854047" w:rsidP="00854047">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 xml:space="preserve">PFI </w:t>
      </w:r>
      <w:r w:rsidR="009B41B2">
        <w:rPr>
          <w:rFonts w:ascii="Arial" w:eastAsia="Times New Roman" w:hAnsi="Arial" w:cs="Arial"/>
          <w:sz w:val="24"/>
          <w:szCs w:val="24"/>
          <w:lang w:val="en-GB" w:eastAsia="en-GB"/>
        </w:rPr>
        <w:t>is</w:t>
      </w:r>
      <w:r w:rsidRPr="00854047">
        <w:rPr>
          <w:rFonts w:ascii="Arial" w:eastAsia="Times New Roman" w:hAnsi="Arial" w:cs="Arial"/>
          <w:sz w:val="24"/>
          <w:szCs w:val="24"/>
          <w:lang w:val="en-GB" w:eastAsia="en-GB"/>
        </w:rPr>
        <w:t xml:space="preserve"> a contractual arrangement </w:t>
      </w:r>
      <w:r w:rsidR="00F76228">
        <w:rPr>
          <w:rFonts w:ascii="Arial" w:eastAsia="Times New Roman" w:hAnsi="Arial" w:cs="Arial"/>
          <w:sz w:val="24"/>
          <w:szCs w:val="24"/>
          <w:lang w:val="en-GB" w:eastAsia="en-GB"/>
        </w:rPr>
        <w:t xml:space="preserve">where the </w:t>
      </w:r>
      <w:r w:rsidRPr="00854047">
        <w:rPr>
          <w:rFonts w:ascii="Arial" w:eastAsia="Times New Roman" w:hAnsi="Arial" w:cs="Arial"/>
          <w:sz w:val="24"/>
          <w:szCs w:val="24"/>
          <w:lang w:val="en-GB" w:eastAsia="en-GB"/>
        </w:rPr>
        <w:t xml:space="preserve">private sector partner </w:t>
      </w:r>
      <w:r w:rsidR="001D22CD">
        <w:rPr>
          <w:rFonts w:ascii="Arial" w:eastAsia="Times New Roman" w:hAnsi="Arial" w:cs="Arial"/>
          <w:sz w:val="24"/>
          <w:szCs w:val="24"/>
          <w:lang w:val="en-GB" w:eastAsia="en-GB"/>
        </w:rPr>
        <w:t>through the establishment of a Special Purpose Vehicle (SPV) is contractu</w:t>
      </w:r>
      <w:r w:rsidR="00BF090C">
        <w:rPr>
          <w:rFonts w:ascii="Arial" w:eastAsia="Times New Roman" w:hAnsi="Arial" w:cs="Arial"/>
          <w:sz w:val="24"/>
          <w:szCs w:val="24"/>
          <w:lang w:val="en-GB" w:eastAsia="en-GB"/>
        </w:rPr>
        <w:t>a</w:t>
      </w:r>
      <w:r w:rsidR="001D22CD">
        <w:rPr>
          <w:rFonts w:ascii="Arial" w:eastAsia="Times New Roman" w:hAnsi="Arial" w:cs="Arial"/>
          <w:sz w:val="24"/>
          <w:szCs w:val="24"/>
          <w:lang w:val="en-GB" w:eastAsia="en-GB"/>
        </w:rPr>
        <w:t>lly</w:t>
      </w:r>
      <w:r w:rsidR="000C434D">
        <w:rPr>
          <w:rFonts w:ascii="Arial" w:eastAsia="Times New Roman" w:hAnsi="Arial" w:cs="Arial"/>
          <w:sz w:val="24"/>
          <w:szCs w:val="24"/>
          <w:lang w:val="en-GB" w:eastAsia="en-GB"/>
        </w:rPr>
        <w:t xml:space="preserve"> </w:t>
      </w:r>
      <w:r w:rsidRPr="00854047">
        <w:rPr>
          <w:rFonts w:ascii="Arial" w:eastAsia="Times New Roman" w:hAnsi="Arial" w:cs="Arial"/>
          <w:sz w:val="24"/>
          <w:szCs w:val="24"/>
          <w:lang w:val="en-GB" w:eastAsia="en-GB"/>
        </w:rPr>
        <w:t xml:space="preserve">responsible for not only the provision/upgrading of assets for a public client, but also </w:t>
      </w:r>
      <w:r w:rsidR="00ED0615">
        <w:rPr>
          <w:rFonts w:ascii="Arial" w:eastAsia="Times New Roman" w:hAnsi="Arial" w:cs="Arial"/>
          <w:sz w:val="24"/>
          <w:szCs w:val="24"/>
          <w:lang w:val="en-GB" w:eastAsia="en-GB"/>
        </w:rPr>
        <w:t>their</w:t>
      </w:r>
      <w:r w:rsidR="000C434D">
        <w:rPr>
          <w:rFonts w:ascii="Arial" w:eastAsia="Times New Roman" w:hAnsi="Arial" w:cs="Arial"/>
          <w:sz w:val="24"/>
          <w:szCs w:val="24"/>
          <w:lang w:val="en-GB" w:eastAsia="en-GB"/>
        </w:rPr>
        <w:t xml:space="preserve"> </w:t>
      </w:r>
      <w:r w:rsidRPr="00854047">
        <w:rPr>
          <w:rFonts w:ascii="Arial" w:eastAsia="Times New Roman" w:hAnsi="Arial" w:cs="Arial"/>
          <w:sz w:val="24"/>
          <w:szCs w:val="24"/>
          <w:lang w:val="en-GB" w:eastAsia="en-GB"/>
        </w:rPr>
        <w:t>management, maintenance, and operation for a contract period of usually at least 25 years</w:t>
      </w:r>
      <w:r w:rsidR="00185146">
        <w:rPr>
          <w:rFonts w:ascii="Arial" w:eastAsia="Times New Roman" w:hAnsi="Arial" w:cs="Arial"/>
          <w:sz w:val="24"/>
          <w:szCs w:val="24"/>
          <w:lang w:val="en-GB" w:eastAsia="en-GB"/>
        </w:rPr>
        <w:t xml:space="preserve">: in other words, </w:t>
      </w:r>
      <w:r w:rsidR="009B41B2">
        <w:rPr>
          <w:rFonts w:ascii="Arial" w:eastAsia="Times New Roman" w:hAnsi="Arial" w:cs="Arial"/>
          <w:sz w:val="24"/>
          <w:szCs w:val="24"/>
          <w:lang w:val="en-GB" w:eastAsia="en-GB"/>
        </w:rPr>
        <w:t xml:space="preserve">a </w:t>
      </w:r>
      <w:r w:rsidR="00185146">
        <w:rPr>
          <w:rFonts w:ascii="Arial" w:eastAsia="Times New Roman" w:hAnsi="Arial" w:cs="Arial"/>
          <w:sz w:val="24"/>
          <w:szCs w:val="24"/>
          <w:lang w:val="en-GB" w:eastAsia="en-GB"/>
        </w:rPr>
        <w:t>long-term</w:t>
      </w:r>
      <w:r w:rsidRPr="00854047">
        <w:rPr>
          <w:rFonts w:ascii="Arial" w:eastAsia="Times New Roman" w:hAnsi="Arial" w:cs="Arial"/>
          <w:sz w:val="24"/>
          <w:szCs w:val="24"/>
          <w:lang w:val="en-GB" w:eastAsia="en-GB"/>
        </w:rPr>
        <w:t xml:space="preserve"> Design, Build, Finance and Operate (DBFO) contracts. </w:t>
      </w:r>
    </w:p>
    <w:p w14:paraId="3AECFACD" w14:textId="77777777" w:rsidR="002D5C07" w:rsidRDefault="002D5C07" w:rsidP="00854047">
      <w:pPr>
        <w:spacing w:after="0" w:line="240" w:lineRule="auto"/>
        <w:rPr>
          <w:rFonts w:ascii="Arial" w:eastAsia="Times New Roman" w:hAnsi="Arial" w:cs="Arial"/>
          <w:sz w:val="24"/>
          <w:szCs w:val="24"/>
          <w:lang w:val="en-GB" w:eastAsia="en-GB"/>
        </w:rPr>
      </w:pPr>
    </w:p>
    <w:p w14:paraId="764F8354" w14:textId="77777777" w:rsidR="006470FB" w:rsidRDefault="00AE7164" w:rsidP="0085404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The SPV</w:t>
      </w:r>
      <w:r w:rsidR="002D5C07" w:rsidRPr="002D5C07">
        <w:rPr>
          <w:rFonts w:ascii="Arial" w:eastAsia="Times New Roman" w:hAnsi="Arial" w:cs="Arial"/>
          <w:sz w:val="24"/>
          <w:szCs w:val="24"/>
          <w:lang w:val="en-GB" w:eastAsia="en-GB"/>
        </w:rPr>
        <w:t xml:space="preserve"> raises finance from debt and equity investors to pay for construction. Once the asset is </w:t>
      </w:r>
      <w:r w:rsidR="0008225C">
        <w:rPr>
          <w:rFonts w:ascii="Arial" w:eastAsia="Times New Roman" w:hAnsi="Arial" w:cs="Arial"/>
          <w:sz w:val="24"/>
          <w:szCs w:val="24"/>
          <w:lang w:val="en-GB" w:eastAsia="en-GB"/>
        </w:rPr>
        <w:t>provided</w:t>
      </w:r>
      <w:r w:rsidR="002D5C07" w:rsidRPr="002D5C07">
        <w:rPr>
          <w:rFonts w:ascii="Arial" w:eastAsia="Times New Roman" w:hAnsi="Arial" w:cs="Arial"/>
          <w:sz w:val="24"/>
          <w:szCs w:val="24"/>
          <w:lang w:val="en-GB" w:eastAsia="en-GB"/>
        </w:rPr>
        <w:t xml:space="preserve"> and available for use the taxpayer makes</w:t>
      </w:r>
      <w:r w:rsidR="00842A13">
        <w:rPr>
          <w:rFonts w:ascii="Arial" w:eastAsia="Times New Roman" w:hAnsi="Arial" w:cs="Arial"/>
          <w:sz w:val="24"/>
          <w:szCs w:val="24"/>
          <w:lang w:val="en-GB" w:eastAsia="en-GB"/>
        </w:rPr>
        <w:t xml:space="preserve"> the contractually agrees</w:t>
      </w:r>
      <w:r w:rsidR="002D5C07" w:rsidRPr="002D5C07">
        <w:rPr>
          <w:rFonts w:ascii="Arial" w:eastAsia="Times New Roman" w:hAnsi="Arial" w:cs="Arial"/>
          <w:sz w:val="24"/>
          <w:szCs w:val="24"/>
          <w:lang w:val="en-GB" w:eastAsia="en-GB"/>
        </w:rPr>
        <w:t xml:space="preserve"> ‘unitary charge’ payments</w:t>
      </w:r>
      <w:r w:rsidR="00842A13">
        <w:rPr>
          <w:rFonts w:ascii="Arial" w:eastAsia="Times New Roman" w:hAnsi="Arial" w:cs="Arial"/>
          <w:sz w:val="24"/>
          <w:szCs w:val="24"/>
          <w:lang w:val="en-GB" w:eastAsia="en-GB"/>
        </w:rPr>
        <w:t xml:space="preserve"> </w:t>
      </w:r>
      <w:r w:rsidR="002D5C07" w:rsidRPr="002D5C07">
        <w:rPr>
          <w:rFonts w:ascii="Arial" w:eastAsia="Times New Roman" w:hAnsi="Arial" w:cs="Arial"/>
          <w:sz w:val="24"/>
          <w:szCs w:val="24"/>
          <w:lang w:val="en-GB" w:eastAsia="en-GB"/>
        </w:rPr>
        <w:t>to the SPV over the contract term</w:t>
      </w:r>
      <w:r w:rsidR="006470FB">
        <w:rPr>
          <w:rFonts w:ascii="Arial" w:eastAsia="Times New Roman" w:hAnsi="Arial" w:cs="Arial"/>
          <w:sz w:val="24"/>
          <w:szCs w:val="24"/>
          <w:lang w:val="en-GB" w:eastAsia="en-GB"/>
        </w:rPr>
        <w:t>.</w:t>
      </w:r>
    </w:p>
    <w:p w14:paraId="12FF9310" w14:textId="77777777" w:rsidR="006470FB" w:rsidRDefault="006470FB" w:rsidP="00854047">
      <w:pPr>
        <w:spacing w:after="0" w:line="240" w:lineRule="auto"/>
        <w:rPr>
          <w:rFonts w:ascii="Arial" w:eastAsia="Times New Roman" w:hAnsi="Arial" w:cs="Arial"/>
          <w:sz w:val="24"/>
          <w:szCs w:val="24"/>
          <w:lang w:val="en-GB" w:eastAsia="en-GB"/>
        </w:rPr>
      </w:pPr>
    </w:p>
    <w:p w14:paraId="4B428192" w14:textId="063527FF" w:rsidR="002D5C07" w:rsidRDefault="006470FB" w:rsidP="0085404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This payment is</w:t>
      </w:r>
      <w:r w:rsidR="002D5C07" w:rsidRPr="002D5C07">
        <w:rPr>
          <w:rFonts w:ascii="Arial" w:eastAsia="Times New Roman" w:hAnsi="Arial" w:cs="Arial"/>
          <w:sz w:val="24"/>
          <w:szCs w:val="24"/>
          <w:lang w:val="en-GB" w:eastAsia="en-GB"/>
        </w:rPr>
        <w:t xml:space="preserve"> inclu</w:t>
      </w:r>
      <w:r w:rsidR="00AC3873">
        <w:rPr>
          <w:rFonts w:ascii="Arial" w:eastAsia="Times New Roman" w:hAnsi="Arial" w:cs="Arial"/>
          <w:sz w:val="24"/>
          <w:szCs w:val="24"/>
          <w:lang w:val="en-GB" w:eastAsia="en-GB"/>
        </w:rPr>
        <w:t>sive of</w:t>
      </w:r>
      <w:r w:rsidR="002D5C07" w:rsidRPr="002D5C07">
        <w:rPr>
          <w:rFonts w:ascii="Arial" w:eastAsia="Times New Roman" w:hAnsi="Arial" w:cs="Arial"/>
          <w:sz w:val="24"/>
          <w:szCs w:val="24"/>
          <w:lang w:val="en-GB" w:eastAsia="en-GB"/>
        </w:rPr>
        <w:t xml:space="preserve"> debt and interest repayments, shareholder dividends, asset maintenance, and</w:t>
      </w:r>
      <w:r w:rsidR="00AC3873">
        <w:rPr>
          <w:rFonts w:ascii="Arial" w:eastAsia="Times New Roman" w:hAnsi="Arial" w:cs="Arial"/>
          <w:sz w:val="24"/>
          <w:szCs w:val="24"/>
          <w:lang w:val="en-GB" w:eastAsia="en-GB"/>
        </w:rPr>
        <w:t xml:space="preserve"> other agreed contracted services</w:t>
      </w:r>
      <w:r w:rsidR="00BB41CC">
        <w:rPr>
          <w:rFonts w:ascii="Arial" w:eastAsia="Times New Roman" w:hAnsi="Arial" w:cs="Arial"/>
          <w:sz w:val="24"/>
          <w:szCs w:val="24"/>
          <w:lang w:val="en-GB" w:eastAsia="en-GB"/>
        </w:rPr>
        <w:t xml:space="preserve">, generally indexed to </w:t>
      </w:r>
      <w:r w:rsidR="002D5C07" w:rsidRPr="002D5C07">
        <w:rPr>
          <w:rFonts w:ascii="Arial" w:eastAsia="Times New Roman" w:hAnsi="Arial" w:cs="Arial"/>
          <w:sz w:val="24"/>
          <w:szCs w:val="24"/>
          <w:lang w:val="en-GB" w:eastAsia="en-GB"/>
        </w:rPr>
        <w:t>inflation</w:t>
      </w:r>
      <w:r w:rsidR="00BB41CC">
        <w:rPr>
          <w:rFonts w:ascii="Arial" w:eastAsia="Times New Roman" w:hAnsi="Arial" w:cs="Arial"/>
          <w:sz w:val="24"/>
          <w:szCs w:val="24"/>
          <w:lang w:val="en-GB" w:eastAsia="en-GB"/>
        </w:rPr>
        <w:t>.</w:t>
      </w:r>
    </w:p>
    <w:p w14:paraId="0DEAC3C4" w14:textId="77777777" w:rsidR="002D5C07" w:rsidRDefault="002D5C07" w:rsidP="00854047">
      <w:pPr>
        <w:spacing w:after="0" w:line="240" w:lineRule="auto"/>
        <w:rPr>
          <w:rFonts w:ascii="Arial" w:eastAsia="Times New Roman" w:hAnsi="Arial" w:cs="Arial"/>
          <w:sz w:val="24"/>
          <w:szCs w:val="24"/>
          <w:lang w:val="en-GB" w:eastAsia="en-GB"/>
        </w:rPr>
      </w:pPr>
    </w:p>
    <w:p w14:paraId="74D55F8B" w14:textId="4B555BEF" w:rsidR="00854047" w:rsidRDefault="00854047" w:rsidP="00854047">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The injection of private sector project management and financial disciplines into complex large-scale procurements</w:t>
      </w:r>
      <w:r w:rsidR="00016471">
        <w:rPr>
          <w:rFonts w:ascii="Arial" w:eastAsia="Times New Roman" w:hAnsi="Arial" w:cs="Arial"/>
          <w:sz w:val="24"/>
          <w:szCs w:val="24"/>
          <w:lang w:val="en-GB" w:eastAsia="en-GB"/>
        </w:rPr>
        <w:t>,</w:t>
      </w:r>
      <w:r w:rsidR="006C5D5E">
        <w:rPr>
          <w:rFonts w:ascii="Arial" w:eastAsia="Times New Roman" w:hAnsi="Arial" w:cs="Arial"/>
          <w:sz w:val="24"/>
          <w:szCs w:val="24"/>
          <w:lang w:val="en-GB" w:eastAsia="en-GB"/>
        </w:rPr>
        <w:t xml:space="preserve"> covering </w:t>
      </w:r>
      <w:r w:rsidR="00ED6522">
        <w:rPr>
          <w:rFonts w:ascii="Arial" w:eastAsia="Times New Roman" w:hAnsi="Arial" w:cs="Arial"/>
          <w:sz w:val="24"/>
          <w:szCs w:val="24"/>
          <w:lang w:val="en-GB" w:eastAsia="en-GB"/>
        </w:rPr>
        <w:t xml:space="preserve">the health, housing, education, justice and transport sectors, </w:t>
      </w:r>
      <w:r w:rsidRPr="00854047">
        <w:rPr>
          <w:rFonts w:ascii="Arial" w:eastAsia="Times New Roman" w:hAnsi="Arial" w:cs="Arial"/>
          <w:sz w:val="24"/>
          <w:szCs w:val="24"/>
          <w:lang w:val="en-GB" w:eastAsia="en-GB"/>
        </w:rPr>
        <w:t>was perceived as offering potential and significant efficiency and value-for-money (vfm) gains to the public purse.</w:t>
      </w:r>
    </w:p>
    <w:p w14:paraId="24B4C940" w14:textId="46996588" w:rsidR="00E974A7" w:rsidRDefault="00E974A7" w:rsidP="00854047">
      <w:pPr>
        <w:spacing w:after="0" w:line="240" w:lineRule="auto"/>
        <w:rPr>
          <w:rFonts w:ascii="Arial" w:eastAsia="Times New Roman" w:hAnsi="Arial" w:cs="Arial"/>
          <w:sz w:val="24"/>
          <w:szCs w:val="24"/>
          <w:lang w:val="en-GB" w:eastAsia="en-GB"/>
        </w:rPr>
      </w:pPr>
    </w:p>
    <w:p w14:paraId="38B3782D" w14:textId="404C206D" w:rsidR="00237433" w:rsidRDefault="006954BA" w:rsidP="00237433">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6470FB">
        <w:rPr>
          <w:rFonts w:ascii="Arial" w:eastAsia="Times New Roman" w:hAnsi="Arial" w:cs="Arial"/>
          <w:sz w:val="24"/>
          <w:szCs w:val="24"/>
          <w:lang w:val="en-GB" w:eastAsia="en-GB"/>
        </w:rPr>
        <w:t>h</w:t>
      </w:r>
      <w:r w:rsidR="00237433" w:rsidRPr="00854047">
        <w:rPr>
          <w:rFonts w:ascii="Arial" w:eastAsia="Times New Roman" w:hAnsi="Arial" w:cs="Arial"/>
          <w:sz w:val="24"/>
          <w:szCs w:val="24"/>
          <w:lang w:val="en-GB" w:eastAsia="en-GB"/>
        </w:rPr>
        <w:t>e prime initial attraction of PFI</w:t>
      </w:r>
      <w:r>
        <w:rPr>
          <w:rFonts w:ascii="Arial" w:eastAsia="Times New Roman" w:hAnsi="Arial" w:cs="Arial"/>
          <w:sz w:val="24"/>
          <w:szCs w:val="24"/>
          <w:lang w:val="en-GB" w:eastAsia="en-GB"/>
        </w:rPr>
        <w:t>, however,</w:t>
      </w:r>
      <w:r w:rsidR="00237433" w:rsidRPr="00854047">
        <w:rPr>
          <w:rFonts w:ascii="Arial" w:eastAsia="Times New Roman" w:hAnsi="Arial" w:cs="Arial"/>
          <w:sz w:val="24"/>
          <w:szCs w:val="24"/>
          <w:lang w:val="en-GB" w:eastAsia="en-GB"/>
        </w:rPr>
        <w:t xml:space="preserve"> was that a considerable amount of up-front investment expenditure on core health, education and transport programmes could be recorded off-public balance sheet, during a time of severe pressure on the public finances. </w:t>
      </w:r>
    </w:p>
    <w:p w14:paraId="3891E6A6" w14:textId="77777777" w:rsidR="003E169C" w:rsidRDefault="003E169C" w:rsidP="00237433">
      <w:pPr>
        <w:spacing w:after="0" w:line="240" w:lineRule="auto"/>
        <w:rPr>
          <w:rFonts w:ascii="Arial" w:eastAsia="Times New Roman" w:hAnsi="Arial" w:cs="Arial"/>
          <w:sz w:val="24"/>
          <w:szCs w:val="24"/>
          <w:lang w:val="en-GB" w:eastAsia="en-GB"/>
        </w:rPr>
      </w:pPr>
    </w:p>
    <w:p w14:paraId="2D7343D3" w14:textId="687C8A2D" w:rsidR="00237433" w:rsidRDefault="003E169C" w:rsidP="00237433">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During the New Labour years, </w:t>
      </w:r>
      <w:r w:rsidR="00237433" w:rsidRPr="00854047">
        <w:rPr>
          <w:rFonts w:ascii="Arial" w:eastAsia="Times New Roman" w:hAnsi="Arial" w:cs="Arial"/>
          <w:sz w:val="24"/>
          <w:szCs w:val="24"/>
          <w:lang w:val="en-GB" w:eastAsia="en-GB"/>
        </w:rPr>
        <w:t xml:space="preserve">changes in public accounting practice, most notably the introduction of the </w:t>
      </w:r>
      <w:r w:rsidR="00237433">
        <w:rPr>
          <w:rFonts w:ascii="Arial" w:eastAsia="Times New Roman" w:hAnsi="Arial" w:cs="Arial"/>
          <w:sz w:val="24"/>
          <w:szCs w:val="24"/>
          <w:lang w:val="en-GB" w:eastAsia="en-GB"/>
        </w:rPr>
        <w:t>G</w:t>
      </w:r>
      <w:r w:rsidR="00237433" w:rsidRPr="00854047">
        <w:rPr>
          <w:rFonts w:ascii="Arial" w:eastAsia="Times New Roman" w:hAnsi="Arial" w:cs="Arial"/>
          <w:sz w:val="24"/>
          <w:szCs w:val="24"/>
          <w:lang w:val="en-GB" w:eastAsia="en-GB"/>
        </w:rPr>
        <w:t xml:space="preserve">olden </w:t>
      </w:r>
      <w:r w:rsidR="00237433">
        <w:rPr>
          <w:rFonts w:ascii="Arial" w:eastAsia="Times New Roman" w:hAnsi="Arial" w:cs="Arial"/>
          <w:sz w:val="24"/>
          <w:szCs w:val="24"/>
          <w:lang w:val="en-GB" w:eastAsia="en-GB"/>
        </w:rPr>
        <w:t>R</w:t>
      </w:r>
      <w:r w:rsidR="00237433" w:rsidRPr="00854047">
        <w:rPr>
          <w:rFonts w:ascii="Arial" w:eastAsia="Times New Roman" w:hAnsi="Arial" w:cs="Arial"/>
          <w:sz w:val="24"/>
          <w:szCs w:val="24"/>
          <w:lang w:val="en-GB" w:eastAsia="en-GB"/>
        </w:rPr>
        <w:t>ule</w:t>
      </w:r>
      <w:r w:rsidR="00237433">
        <w:rPr>
          <w:rFonts w:ascii="Arial" w:eastAsia="Times New Roman" w:hAnsi="Arial" w:cs="Arial"/>
          <w:sz w:val="24"/>
          <w:szCs w:val="24"/>
          <w:lang w:val="en-GB" w:eastAsia="en-GB"/>
        </w:rPr>
        <w:t xml:space="preserve"> in 1999</w:t>
      </w:r>
      <w:r w:rsidR="00237433" w:rsidRPr="0085404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seemed to </w:t>
      </w:r>
      <w:r w:rsidR="00237433" w:rsidRPr="00854047">
        <w:rPr>
          <w:rFonts w:ascii="Arial" w:eastAsia="Times New Roman" w:hAnsi="Arial" w:cs="Arial"/>
          <w:sz w:val="24"/>
          <w:szCs w:val="24"/>
          <w:lang w:val="en-GB" w:eastAsia="en-GB"/>
        </w:rPr>
        <w:t>reduce th</w:t>
      </w:r>
      <w:r>
        <w:rPr>
          <w:rFonts w:ascii="Arial" w:eastAsia="Times New Roman" w:hAnsi="Arial" w:cs="Arial"/>
          <w:sz w:val="24"/>
          <w:szCs w:val="24"/>
          <w:lang w:val="en-GB" w:eastAsia="en-GB"/>
        </w:rPr>
        <w:t>at</w:t>
      </w:r>
      <w:r w:rsidR="00237433" w:rsidRPr="00854047">
        <w:rPr>
          <w:rFonts w:ascii="Arial" w:eastAsia="Times New Roman" w:hAnsi="Arial" w:cs="Arial"/>
          <w:sz w:val="24"/>
          <w:szCs w:val="24"/>
          <w:lang w:val="en-GB" w:eastAsia="en-GB"/>
        </w:rPr>
        <w:t xml:space="preserve"> incentive for government to choose contractual arrangements on the ground of its public expenditure accounting treatment</w:t>
      </w:r>
      <w:r w:rsidR="003A49AB">
        <w:rPr>
          <w:rFonts w:ascii="Arial" w:eastAsia="Times New Roman" w:hAnsi="Arial" w:cs="Arial"/>
          <w:sz w:val="24"/>
          <w:szCs w:val="24"/>
          <w:lang w:val="en-GB" w:eastAsia="en-GB"/>
        </w:rPr>
        <w:t>,</w:t>
      </w:r>
      <w:r w:rsidR="00237433" w:rsidRPr="00854047">
        <w:rPr>
          <w:rFonts w:ascii="Arial" w:eastAsia="Times New Roman" w:hAnsi="Arial" w:cs="Arial"/>
          <w:sz w:val="24"/>
          <w:szCs w:val="24"/>
          <w:lang w:val="en-GB" w:eastAsia="en-GB"/>
        </w:rPr>
        <w:t xml:space="preserve"> rather their ability to deliver overall value-for-money. </w:t>
      </w:r>
    </w:p>
    <w:p w14:paraId="3DF9C4E3" w14:textId="77777777" w:rsidR="003E169C" w:rsidRDefault="003E169C" w:rsidP="00237433">
      <w:pPr>
        <w:spacing w:after="0" w:line="240" w:lineRule="auto"/>
        <w:rPr>
          <w:rFonts w:ascii="Arial" w:eastAsia="Times New Roman" w:hAnsi="Arial" w:cs="Arial"/>
          <w:sz w:val="24"/>
          <w:szCs w:val="24"/>
          <w:lang w:val="en-GB" w:eastAsia="en-GB"/>
        </w:rPr>
      </w:pPr>
    </w:p>
    <w:p w14:paraId="0AC10A81" w14:textId="77777777" w:rsidR="00C53971" w:rsidRDefault="00DB6E06" w:rsidP="003A49AB">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I</w:t>
      </w:r>
      <w:r w:rsidR="00237433" w:rsidRPr="00854047">
        <w:rPr>
          <w:rFonts w:ascii="Arial" w:eastAsia="Times New Roman" w:hAnsi="Arial" w:cs="Arial"/>
          <w:sz w:val="24"/>
          <w:szCs w:val="24"/>
          <w:lang w:val="en-GB" w:eastAsia="en-GB"/>
        </w:rPr>
        <w:t>n 1999</w:t>
      </w:r>
      <w:r>
        <w:rPr>
          <w:rFonts w:ascii="Arial" w:eastAsia="Times New Roman" w:hAnsi="Arial" w:cs="Arial"/>
          <w:sz w:val="24"/>
          <w:szCs w:val="24"/>
          <w:lang w:val="en-GB" w:eastAsia="en-GB"/>
        </w:rPr>
        <w:t>, for instance,</w:t>
      </w:r>
      <w:r w:rsidR="00237433" w:rsidRPr="00854047">
        <w:rPr>
          <w:rFonts w:ascii="Arial" w:eastAsia="Times New Roman" w:hAnsi="Arial" w:cs="Arial"/>
          <w:sz w:val="24"/>
          <w:szCs w:val="24"/>
          <w:lang w:val="en-GB" w:eastAsia="en-GB"/>
        </w:rPr>
        <w:t xml:space="preserve"> the Treasury Taskforce emphasised that the justification of PFI hinged on its ability to secure performance improvements and efficiency savings, not because it offered an additional source of investment finance. </w:t>
      </w:r>
    </w:p>
    <w:p w14:paraId="25F8F996" w14:textId="77777777" w:rsidR="00C53971" w:rsidRDefault="00C53971" w:rsidP="003A49AB">
      <w:pPr>
        <w:spacing w:after="0" w:line="240" w:lineRule="auto"/>
        <w:rPr>
          <w:rFonts w:ascii="Arial" w:eastAsia="Times New Roman" w:hAnsi="Arial" w:cs="Arial"/>
          <w:sz w:val="24"/>
          <w:szCs w:val="24"/>
          <w:lang w:val="en-GB" w:eastAsia="en-GB"/>
        </w:rPr>
      </w:pPr>
    </w:p>
    <w:p w14:paraId="19AD21A6" w14:textId="45294FAA" w:rsidR="00422588" w:rsidRDefault="00422588" w:rsidP="00237433">
      <w:pPr>
        <w:spacing w:after="0" w:line="240" w:lineRule="auto"/>
        <w:rPr>
          <w:rFonts w:ascii="Arial" w:eastAsia="Times New Roman" w:hAnsi="Arial" w:cs="Arial"/>
          <w:sz w:val="24"/>
          <w:szCs w:val="24"/>
          <w:lang w:val="en-GB" w:eastAsia="en-GB"/>
        </w:rPr>
      </w:pPr>
      <w:r w:rsidRPr="00422588">
        <w:rPr>
          <w:rFonts w:ascii="Arial" w:eastAsia="Times New Roman" w:hAnsi="Arial" w:cs="Arial"/>
          <w:sz w:val="24"/>
          <w:szCs w:val="24"/>
          <w:lang w:val="en-GB" w:eastAsia="en-GB"/>
        </w:rPr>
        <w:t>The importance of public clients selecting particular procurement options for particular projects that demonstrate best value for the taxpayer taken on a whole-life project cost basis (after costs and benefits have been discounted in relation to their time profile as to when they are incurred or secured during the project period)</w:t>
      </w:r>
      <w:r>
        <w:rPr>
          <w:rFonts w:ascii="Arial" w:eastAsia="Times New Roman" w:hAnsi="Arial" w:cs="Arial"/>
          <w:sz w:val="24"/>
          <w:szCs w:val="24"/>
          <w:lang w:val="en-GB" w:eastAsia="en-GB"/>
        </w:rPr>
        <w:t xml:space="preserve"> continued to be highlighted</w:t>
      </w:r>
      <w:r w:rsidR="008A6741">
        <w:rPr>
          <w:rFonts w:ascii="Arial" w:eastAsia="Times New Roman" w:hAnsi="Arial" w:cs="Arial"/>
          <w:sz w:val="24"/>
          <w:szCs w:val="24"/>
          <w:lang w:val="en-GB" w:eastAsia="en-GB"/>
        </w:rPr>
        <w:t xml:space="preserve"> </w:t>
      </w:r>
      <w:r w:rsidR="00A079BC">
        <w:rPr>
          <w:rFonts w:ascii="Arial" w:eastAsia="Times New Roman" w:hAnsi="Arial" w:cs="Arial"/>
          <w:sz w:val="24"/>
          <w:szCs w:val="24"/>
          <w:lang w:val="en-GB" w:eastAsia="en-GB"/>
        </w:rPr>
        <w:t>subsequently.</w:t>
      </w:r>
    </w:p>
    <w:p w14:paraId="5CE1FA75" w14:textId="77777777" w:rsidR="00A079BC" w:rsidRDefault="00A079BC" w:rsidP="00237433">
      <w:pPr>
        <w:spacing w:after="0" w:line="240" w:lineRule="auto"/>
        <w:rPr>
          <w:rFonts w:ascii="Arial" w:eastAsia="Times New Roman" w:hAnsi="Arial" w:cs="Arial"/>
          <w:sz w:val="24"/>
          <w:szCs w:val="24"/>
          <w:lang w:val="en-GB" w:eastAsia="en-GB"/>
        </w:rPr>
      </w:pPr>
    </w:p>
    <w:p w14:paraId="54B1A874" w14:textId="5C0C20A8" w:rsidR="007708B2" w:rsidRDefault="00466BB5" w:rsidP="007708B2">
      <w:pPr>
        <w:spacing w:after="0" w:line="240" w:lineRule="auto"/>
        <w:rPr>
          <w:rFonts w:ascii="Arial" w:hAnsi="Arial" w:cs="Arial"/>
          <w:sz w:val="24"/>
          <w:szCs w:val="24"/>
          <w:lang w:val="en-GB" w:eastAsia="en-GB"/>
        </w:rPr>
      </w:pPr>
      <w:r>
        <w:rPr>
          <w:rFonts w:ascii="Arial" w:hAnsi="Arial" w:cs="Arial"/>
          <w:sz w:val="24"/>
          <w:szCs w:val="24"/>
          <w:lang w:val="en-GB" w:eastAsia="en-GB"/>
        </w:rPr>
        <w:t xml:space="preserve">A </w:t>
      </w:r>
      <w:r w:rsidR="007708B2" w:rsidRPr="00854047">
        <w:rPr>
          <w:rFonts w:ascii="Arial" w:hAnsi="Arial" w:cs="Arial"/>
          <w:sz w:val="24"/>
          <w:szCs w:val="24"/>
          <w:lang w:val="en-GB" w:eastAsia="en-GB"/>
        </w:rPr>
        <w:t xml:space="preserve">National Audit Office (NAO) study </w:t>
      </w:r>
      <w:r w:rsidR="00E71F2C">
        <w:rPr>
          <w:rFonts w:ascii="Arial" w:hAnsi="Arial" w:cs="Arial"/>
          <w:sz w:val="24"/>
          <w:szCs w:val="24"/>
          <w:lang w:val="en-GB" w:eastAsia="en-GB"/>
        </w:rPr>
        <w:t>back</w:t>
      </w:r>
      <w:r>
        <w:rPr>
          <w:rFonts w:ascii="Arial" w:hAnsi="Arial" w:cs="Arial"/>
          <w:sz w:val="24"/>
          <w:szCs w:val="24"/>
          <w:lang w:val="en-GB" w:eastAsia="en-GB"/>
        </w:rPr>
        <w:t xml:space="preserve"> 1999 </w:t>
      </w:r>
      <w:r w:rsidR="007708B2" w:rsidRPr="00854047">
        <w:rPr>
          <w:rFonts w:ascii="Arial" w:hAnsi="Arial" w:cs="Arial"/>
          <w:sz w:val="24"/>
          <w:szCs w:val="24"/>
          <w:lang w:val="en-GB" w:eastAsia="en-GB"/>
        </w:rPr>
        <w:t>found that only 30 per cent of non-PFI major construction projects were delivered on time or budget compared to over 70 per cent of PFI projects with respect to time, and 100 per cent to cost</w:t>
      </w:r>
      <w:r w:rsidR="007708B2">
        <w:rPr>
          <w:rFonts w:ascii="Arial" w:hAnsi="Arial" w:cs="Arial"/>
          <w:sz w:val="24"/>
          <w:szCs w:val="24"/>
          <w:lang w:val="en-GB" w:eastAsia="en-GB"/>
        </w:rPr>
        <w:t>, providing technocratic support to its expansion.</w:t>
      </w:r>
    </w:p>
    <w:p w14:paraId="30942E08" w14:textId="77777777" w:rsidR="007708B2" w:rsidRDefault="007708B2" w:rsidP="007708B2">
      <w:pPr>
        <w:spacing w:after="0" w:line="240" w:lineRule="auto"/>
        <w:rPr>
          <w:rFonts w:ascii="Arial" w:hAnsi="Arial" w:cs="Arial"/>
          <w:sz w:val="24"/>
          <w:szCs w:val="24"/>
          <w:lang w:val="en-GB" w:eastAsia="en-GB"/>
        </w:rPr>
      </w:pPr>
    </w:p>
    <w:p w14:paraId="38BF4857" w14:textId="00203B8A" w:rsidR="00854047" w:rsidRPr="00854047" w:rsidRDefault="00B90CF3" w:rsidP="007708B2">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This gave </w:t>
      </w:r>
      <w:r w:rsidR="00AC62E0">
        <w:rPr>
          <w:rFonts w:ascii="Arial" w:eastAsia="Times New Roman" w:hAnsi="Arial" w:cs="Arial"/>
          <w:sz w:val="24"/>
          <w:szCs w:val="24"/>
          <w:lang w:val="en-GB" w:eastAsia="en-GB"/>
        </w:rPr>
        <w:t xml:space="preserve">some needed </w:t>
      </w:r>
      <w:r>
        <w:rPr>
          <w:rFonts w:ascii="Arial" w:eastAsia="Times New Roman" w:hAnsi="Arial" w:cs="Arial"/>
          <w:sz w:val="24"/>
          <w:szCs w:val="24"/>
          <w:lang w:val="en-GB" w:eastAsia="en-GB"/>
        </w:rPr>
        <w:t xml:space="preserve">technocratic cover </w:t>
      </w:r>
      <w:r w:rsidR="00160090">
        <w:rPr>
          <w:rFonts w:ascii="Arial" w:eastAsia="Times New Roman" w:hAnsi="Arial" w:cs="Arial"/>
          <w:sz w:val="24"/>
          <w:szCs w:val="24"/>
          <w:lang w:val="en-GB" w:eastAsia="en-GB"/>
        </w:rPr>
        <w:t>to</w:t>
      </w:r>
      <w:r w:rsidR="00F25523">
        <w:rPr>
          <w:rFonts w:ascii="Arial" w:eastAsia="Times New Roman" w:hAnsi="Arial" w:cs="Arial"/>
          <w:sz w:val="24"/>
          <w:szCs w:val="24"/>
          <w:lang w:val="en-GB" w:eastAsia="en-GB"/>
        </w:rPr>
        <w:t xml:space="preserve"> an </w:t>
      </w:r>
      <w:r w:rsidR="00160090" w:rsidRPr="00160090">
        <w:rPr>
          <w:rFonts w:ascii="Arial" w:eastAsia="Times New Roman" w:hAnsi="Arial" w:cs="Arial"/>
          <w:sz w:val="24"/>
          <w:szCs w:val="24"/>
          <w:lang w:val="en-GB" w:eastAsia="en-GB"/>
        </w:rPr>
        <w:t>expan</w:t>
      </w:r>
      <w:r w:rsidR="00F25523">
        <w:rPr>
          <w:rFonts w:ascii="Arial" w:eastAsia="Times New Roman" w:hAnsi="Arial" w:cs="Arial"/>
          <w:sz w:val="24"/>
          <w:szCs w:val="24"/>
          <w:lang w:val="en-GB" w:eastAsia="en-GB"/>
        </w:rPr>
        <w:t>sion of PFI</w:t>
      </w:r>
      <w:r w:rsidR="00160090" w:rsidRPr="00160090">
        <w:rPr>
          <w:rFonts w:ascii="Arial" w:eastAsia="Times New Roman" w:hAnsi="Arial" w:cs="Arial"/>
          <w:sz w:val="24"/>
          <w:szCs w:val="24"/>
          <w:lang w:val="en-GB" w:eastAsia="en-GB"/>
        </w:rPr>
        <w:t xml:space="preserve"> during the New Labour years as to means to secure needed additional investment in social infrastructure on schools and hospitals</w:t>
      </w:r>
      <w:r w:rsidR="00AC62E0">
        <w:rPr>
          <w:rFonts w:ascii="Arial" w:eastAsia="Times New Roman" w:hAnsi="Arial" w:cs="Arial"/>
          <w:sz w:val="24"/>
          <w:szCs w:val="24"/>
          <w:lang w:val="en-GB" w:eastAsia="en-GB"/>
        </w:rPr>
        <w:t>,</w:t>
      </w:r>
      <w:r w:rsidR="00160090" w:rsidRPr="00160090">
        <w:rPr>
          <w:rFonts w:ascii="Arial" w:eastAsia="Times New Roman" w:hAnsi="Arial" w:cs="Arial"/>
          <w:sz w:val="24"/>
          <w:szCs w:val="24"/>
          <w:lang w:val="en-GB" w:eastAsia="en-GB"/>
        </w:rPr>
        <w:t xml:space="preserve"> particularly</w:t>
      </w:r>
      <w:r w:rsidR="00B63D00">
        <w:rPr>
          <w:rFonts w:ascii="Arial" w:eastAsia="Times New Roman" w:hAnsi="Arial" w:cs="Arial"/>
          <w:sz w:val="24"/>
          <w:szCs w:val="24"/>
          <w:lang w:val="en-GB" w:eastAsia="en-GB"/>
        </w:rPr>
        <w:t xml:space="preserve">, in a </w:t>
      </w:r>
      <w:r w:rsidR="001110DF">
        <w:rPr>
          <w:rFonts w:ascii="Arial" w:eastAsia="Times New Roman" w:hAnsi="Arial" w:cs="Arial"/>
          <w:sz w:val="24"/>
          <w:szCs w:val="24"/>
          <w:lang w:val="en-GB" w:eastAsia="en-GB"/>
        </w:rPr>
        <w:t>way that combined economic efficiency and social justice</w:t>
      </w:r>
      <w:r w:rsidR="00160090" w:rsidRPr="00160090">
        <w:rPr>
          <w:rFonts w:ascii="Arial" w:eastAsia="Times New Roman" w:hAnsi="Arial" w:cs="Arial"/>
          <w:sz w:val="24"/>
          <w:szCs w:val="24"/>
          <w:lang w:val="en-GB" w:eastAsia="en-GB"/>
        </w:rPr>
        <w:t>.</w:t>
      </w:r>
      <w:r w:rsidR="00160090">
        <w:rPr>
          <w:rFonts w:ascii="Arial" w:eastAsia="Times New Roman" w:hAnsi="Arial" w:cs="Arial"/>
          <w:sz w:val="24"/>
          <w:szCs w:val="24"/>
          <w:lang w:val="en-GB" w:eastAsia="en-GB"/>
        </w:rPr>
        <w:t xml:space="preserve"> </w:t>
      </w:r>
    </w:p>
    <w:p w14:paraId="1D46FA5D" w14:textId="77777777" w:rsidR="00854047" w:rsidRPr="00854047" w:rsidRDefault="00854047" w:rsidP="00854047">
      <w:pPr>
        <w:spacing w:after="0" w:line="240" w:lineRule="auto"/>
        <w:rPr>
          <w:rFonts w:ascii="Arial" w:eastAsia="Times New Roman" w:hAnsi="Arial" w:cs="Arial"/>
          <w:sz w:val="24"/>
          <w:szCs w:val="24"/>
          <w:lang w:val="en-GB" w:eastAsia="en-GB"/>
        </w:rPr>
      </w:pPr>
    </w:p>
    <w:p w14:paraId="6D2C6D8B" w14:textId="6C62E328" w:rsidR="007F132B" w:rsidRDefault="00854047" w:rsidP="00854047">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PFI and PPP’s</w:t>
      </w:r>
      <w:r w:rsidR="001110DF">
        <w:rPr>
          <w:rFonts w:ascii="Arial" w:eastAsia="Times New Roman" w:hAnsi="Arial" w:cs="Arial"/>
          <w:sz w:val="24"/>
          <w:szCs w:val="24"/>
          <w:lang w:val="en-GB" w:eastAsia="en-GB"/>
        </w:rPr>
        <w:t>, accordingly,</w:t>
      </w:r>
      <w:r w:rsidRPr="00854047">
        <w:rPr>
          <w:rFonts w:ascii="Arial" w:eastAsia="Times New Roman" w:hAnsi="Arial" w:cs="Arial"/>
          <w:sz w:val="24"/>
          <w:szCs w:val="24"/>
          <w:lang w:val="en-GB" w:eastAsia="en-GB"/>
        </w:rPr>
        <w:t xml:space="preserve"> accoun</w:t>
      </w:r>
      <w:r w:rsidR="000B20FA">
        <w:rPr>
          <w:rFonts w:ascii="Arial" w:eastAsia="Times New Roman" w:hAnsi="Arial" w:cs="Arial"/>
          <w:sz w:val="24"/>
          <w:szCs w:val="24"/>
          <w:lang w:val="en-GB" w:eastAsia="en-GB"/>
        </w:rPr>
        <w:t>ted</w:t>
      </w:r>
      <w:r w:rsidRPr="00854047">
        <w:rPr>
          <w:rFonts w:ascii="Arial" w:eastAsia="Times New Roman" w:hAnsi="Arial" w:cs="Arial"/>
          <w:sz w:val="24"/>
          <w:szCs w:val="24"/>
          <w:lang w:val="en-GB" w:eastAsia="en-GB"/>
        </w:rPr>
        <w:t xml:space="preserve"> for a significant proportion of public procurement</w:t>
      </w:r>
      <w:r w:rsidR="00345852">
        <w:rPr>
          <w:rFonts w:ascii="Arial" w:eastAsia="Times New Roman" w:hAnsi="Arial" w:cs="Arial"/>
          <w:sz w:val="24"/>
          <w:szCs w:val="24"/>
          <w:lang w:val="en-GB" w:eastAsia="en-GB"/>
        </w:rPr>
        <w:t xml:space="preserve"> during </w:t>
      </w:r>
      <w:r w:rsidRPr="00854047">
        <w:rPr>
          <w:rFonts w:ascii="Arial" w:eastAsia="Times New Roman" w:hAnsi="Arial" w:cs="Arial"/>
          <w:sz w:val="24"/>
          <w:szCs w:val="24"/>
          <w:lang w:val="en-GB" w:eastAsia="en-GB"/>
        </w:rPr>
        <w:t xml:space="preserve">New Labour’s </w:t>
      </w:r>
      <w:r w:rsidR="000B20FA">
        <w:rPr>
          <w:rFonts w:ascii="Arial" w:eastAsia="Times New Roman" w:hAnsi="Arial" w:cs="Arial"/>
          <w:sz w:val="24"/>
          <w:szCs w:val="24"/>
          <w:lang w:val="en-GB" w:eastAsia="en-GB"/>
        </w:rPr>
        <w:t xml:space="preserve">second and </w:t>
      </w:r>
      <w:r w:rsidRPr="00854047">
        <w:rPr>
          <w:rFonts w:ascii="Arial" w:eastAsia="Times New Roman" w:hAnsi="Arial" w:cs="Arial"/>
          <w:sz w:val="24"/>
          <w:szCs w:val="24"/>
          <w:lang w:val="en-GB" w:eastAsia="en-GB"/>
        </w:rPr>
        <w:t>term</w:t>
      </w:r>
      <w:r w:rsidR="000B20FA">
        <w:rPr>
          <w:rFonts w:ascii="Arial" w:eastAsia="Times New Roman" w:hAnsi="Arial" w:cs="Arial"/>
          <w:sz w:val="24"/>
          <w:szCs w:val="24"/>
          <w:lang w:val="en-GB" w:eastAsia="en-GB"/>
        </w:rPr>
        <w:t>s</w:t>
      </w:r>
      <w:r w:rsidR="001F4C7C">
        <w:rPr>
          <w:rFonts w:ascii="Arial" w:eastAsia="Times New Roman" w:hAnsi="Arial" w:cs="Arial"/>
          <w:sz w:val="24"/>
          <w:szCs w:val="24"/>
          <w:lang w:val="en-GB" w:eastAsia="en-GB"/>
        </w:rPr>
        <w:t xml:space="preserve"> –</w:t>
      </w:r>
      <w:r w:rsidR="001110DF">
        <w:rPr>
          <w:rFonts w:ascii="Arial" w:eastAsia="Times New Roman" w:hAnsi="Arial" w:cs="Arial"/>
          <w:sz w:val="24"/>
          <w:szCs w:val="24"/>
          <w:lang w:val="en-GB" w:eastAsia="en-GB"/>
        </w:rPr>
        <w:t xml:space="preserve"> although </w:t>
      </w:r>
      <w:r w:rsidR="001F4C7C">
        <w:rPr>
          <w:rFonts w:ascii="Arial" w:eastAsia="Times New Roman" w:hAnsi="Arial" w:cs="Arial"/>
          <w:sz w:val="24"/>
          <w:szCs w:val="24"/>
          <w:lang w:val="en-GB" w:eastAsia="en-GB"/>
        </w:rPr>
        <w:t>the 2008 GFC significantly increased the cost of private capita</w:t>
      </w:r>
      <w:r w:rsidR="00212B16">
        <w:rPr>
          <w:rFonts w:ascii="Arial" w:eastAsia="Times New Roman" w:hAnsi="Arial" w:cs="Arial"/>
          <w:sz w:val="24"/>
          <w:szCs w:val="24"/>
          <w:lang w:val="en-GB" w:eastAsia="en-GB"/>
        </w:rPr>
        <w:t>l</w:t>
      </w:r>
      <w:r w:rsidR="001110DF">
        <w:rPr>
          <w:rFonts w:ascii="Arial" w:eastAsia="Times New Roman" w:hAnsi="Arial" w:cs="Arial"/>
          <w:sz w:val="24"/>
          <w:szCs w:val="24"/>
          <w:lang w:val="en-GB" w:eastAsia="en-GB"/>
        </w:rPr>
        <w:t xml:space="preserve"> and stalled the use of PFI</w:t>
      </w:r>
      <w:r w:rsidR="007F132B">
        <w:rPr>
          <w:rFonts w:ascii="Arial" w:eastAsia="Times New Roman" w:hAnsi="Arial" w:cs="Arial"/>
          <w:sz w:val="24"/>
          <w:szCs w:val="24"/>
          <w:lang w:val="en-GB" w:eastAsia="en-GB"/>
        </w:rPr>
        <w:t>.</w:t>
      </w:r>
    </w:p>
    <w:p w14:paraId="5310801A" w14:textId="77777777" w:rsidR="007F132B" w:rsidRDefault="007F132B" w:rsidP="00854047">
      <w:pPr>
        <w:spacing w:after="0" w:line="240" w:lineRule="auto"/>
        <w:rPr>
          <w:rFonts w:ascii="Arial" w:eastAsia="Times New Roman" w:hAnsi="Arial" w:cs="Arial"/>
          <w:sz w:val="24"/>
          <w:szCs w:val="24"/>
          <w:lang w:val="en-GB" w:eastAsia="en-GB"/>
        </w:rPr>
      </w:pPr>
    </w:p>
    <w:p w14:paraId="5367644F" w14:textId="2A6BAB73" w:rsidR="00854047" w:rsidRDefault="00D80012" w:rsidP="0085404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PFI </w:t>
      </w:r>
      <w:r w:rsidR="009E640F">
        <w:rPr>
          <w:rFonts w:ascii="Arial" w:eastAsia="Times New Roman" w:hAnsi="Arial" w:cs="Arial"/>
          <w:sz w:val="24"/>
          <w:szCs w:val="24"/>
          <w:lang w:val="en-GB" w:eastAsia="en-GB"/>
        </w:rPr>
        <w:t>continu</w:t>
      </w:r>
      <w:r w:rsidR="007F132B">
        <w:rPr>
          <w:rFonts w:ascii="Arial" w:eastAsia="Times New Roman" w:hAnsi="Arial" w:cs="Arial"/>
          <w:sz w:val="24"/>
          <w:szCs w:val="24"/>
          <w:lang w:val="en-GB" w:eastAsia="en-GB"/>
        </w:rPr>
        <w:t>ed</w:t>
      </w:r>
      <w:r w:rsidR="001110DF">
        <w:rPr>
          <w:rFonts w:ascii="Arial" w:eastAsia="Times New Roman" w:hAnsi="Arial" w:cs="Arial"/>
          <w:sz w:val="24"/>
          <w:szCs w:val="24"/>
          <w:lang w:val="en-GB" w:eastAsia="en-GB"/>
        </w:rPr>
        <w:t>, however,</w:t>
      </w:r>
      <w:r w:rsidR="009E640F">
        <w:rPr>
          <w:rFonts w:ascii="Arial" w:eastAsia="Times New Roman" w:hAnsi="Arial" w:cs="Arial"/>
          <w:sz w:val="24"/>
          <w:szCs w:val="24"/>
          <w:lang w:val="en-GB" w:eastAsia="en-GB"/>
        </w:rPr>
        <w:t xml:space="preserve"> to </w:t>
      </w:r>
      <w:r w:rsidR="005F6E54">
        <w:rPr>
          <w:rFonts w:ascii="Arial" w:eastAsia="Times New Roman" w:hAnsi="Arial" w:cs="Arial"/>
          <w:sz w:val="24"/>
          <w:szCs w:val="24"/>
          <w:lang w:val="en-GB" w:eastAsia="en-GB"/>
        </w:rPr>
        <w:t>be t</w:t>
      </w:r>
      <w:r w:rsidR="00264695">
        <w:rPr>
          <w:rFonts w:ascii="Arial" w:eastAsia="Times New Roman" w:hAnsi="Arial" w:cs="Arial"/>
          <w:sz w:val="24"/>
          <w:szCs w:val="24"/>
          <w:lang w:val="en-GB" w:eastAsia="en-GB"/>
        </w:rPr>
        <w:t xml:space="preserve">he government’s preferred form of PPP until 2012, when it was replaced by </w:t>
      </w:r>
      <w:r w:rsidR="00C058F1">
        <w:rPr>
          <w:rFonts w:ascii="Arial" w:eastAsia="Times New Roman" w:hAnsi="Arial" w:cs="Arial"/>
          <w:sz w:val="24"/>
          <w:szCs w:val="24"/>
          <w:lang w:val="en-GB" w:eastAsia="en-GB"/>
        </w:rPr>
        <w:t>Private Finance (</w:t>
      </w:r>
      <w:r w:rsidR="00264695">
        <w:rPr>
          <w:rFonts w:ascii="Arial" w:eastAsia="Times New Roman" w:hAnsi="Arial" w:cs="Arial"/>
          <w:sz w:val="24"/>
          <w:szCs w:val="24"/>
          <w:lang w:val="en-GB" w:eastAsia="en-GB"/>
        </w:rPr>
        <w:t>PF2</w:t>
      </w:r>
      <w:r w:rsidR="00C058F1">
        <w:rPr>
          <w:rFonts w:ascii="Arial" w:eastAsia="Times New Roman" w:hAnsi="Arial" w:cs="Arial"/>
          <w:sz w:val="24"/>
          <w:szCs w:val="24"/>
          <w:lang w:val="en-GB" w:eastAsia="en-GB"/>
        </w:rPr>
        <w:t>)</w:t>
      </w:r>
      <w:r w:rsidR="008C7A32">
        <w:rPr>
          <w:rFonts w:ascii="Arial" w:eastAsia="Times New Roman" w:hAnsi="Arial" w:cs="Arial"/>
          <w:sz w:val="24"/>
          <w:szCs w:val="24"/>
          <w:lang w:val="en-GB" w:eastAsia="en-GB"/>
        </w:rPr>
        <w:t xml:space="preserve">, which, however, was </w:t>
      </w:r>
      <w:r w:rsidR="00AF0222">
        <w:rPr>
          <w:rFonts w:ascii="Arial" w:eastAsia="Times New Roman" w:hAnsi="Arial" w:cs="Arial"/>
          <w:sz w:val="24"/>
          <w:szCs w:val="24"/>
          <w:lang w:val="en-GB" w:eastAsia="en-GB"/>
        </w:rPr>
        <w:t xml:space="preserve">subsequently </w:t>
      </w:r>
      <w:r w:rsidR="008C7A32">
        <w:rPr>
          <w:rFonts w:ascii="Arial" w:eastAsia="Times New Roman" w:hAnsi="Arial" w:cs="Arial"/>
          <w:sz w:val="24"/>
          <w:szCs w:val="24"/>
          <w:lang w:val="en-GB" w:eastAsia="en-GB"/>
        </w:rPr>
        <w:t xml:space="preserve">used </w:t>
      </w:r>
      <w:r w:rsidR="00566911">
        <w:rPr>
          <w:rFonts w:ascii="Arial" w:eastAsia="Times New Roman" w:hAnsi="Arial" w:cs="Arial"/>
          <w:sz w:val="24"/>
          <w:szCs w:val="24"/>
          <w:lang w:val="en-GB" w:eastAsia="en-GB"/>
        </w:rPr>
        <w:t>only six times</w:t>
      </w:r>
      <w:r w:rsidR="00D975DB">
        <w:rPr>
          <w:rFonts w:ascii="Arial" w:eastAsia="Times New Roman" w:hAnsi="Arial" w:cs="Arial"/>
          <w:sz w:val="24"/>
          <w:szCs w:val="24"/>
          <w:lang w:val="en-GB" w:eastAsia="en-GB"/>
        </w:rPr>
        <w:t>, w</w:t>
      </w:r>
      <w:r w:rsidR="00B26D9B">
        <w:rPr>
          <w:rFonts w:ascii="Arial" w:eastAsia="Times New Roman" w:hAnsi="Arial" w:cs="Arial"/>
          <w:sz w:val="24"/>
          <w:szCs w:val="24"/>
          <w:lang w:val="en-GB" w:eastAsia="en-GB"/>
        </w:rPr>
        <w:t>i</w:t>
      </w:r>
      <w:r w:rsidR="00D975DB">
        <w:rPr>
          <w:rFonts w:ascii="Arial" w:eastAsia="Times New Roman" w:hAnsi="Arial" w:cs="Arial"/>
          <w:sz w:val="24"/>
          <w:szCs w:val="24"/>
          <w:lang w:val="en-GB" w:eastAsia="en-GB"/>
        </w:rPr>
        <w:t>th a total cont</w:t>
      </w:r>
      <w:r w:rsidR="00B26D9B">
        <w:rPr>
          <w:rFonts w:ascii="Arial" w:eastAsia="Times New Roman" w:hAnsi="Arial" w:cs="Arial"/>
          <w:sz w:val="24"/>
          <w:szCs w:val="24"/>
          <w:lang w:val="en-GB" w:eastAsia="en-GB"/>
        </w:rPr>
        <w:t>r</w:t>
      </w:r>
      <w:r w:rsidR="00D975DB">
        <w:rPr>
          <w:rFonts w:ascii="Arial" w:eastAsia="Times New Roman" w:hAnsi="Arial" w:cs="Arial"/>
          <w:sz w:val="24"/>
          <w:szCs w:val="24"/>
          <w:lang w:val="en-GB" w:eastAsia="en-GB"/>
        </w:rPr>
        <w:t xml:space="preserve">act value of </w:t>
      </w:r>
      <w:r w:rsidR="00B26D9B">
        <w:rPr>
          <w:rFonts w:ascii="Arial" w:eastAsia="Times New Roman" w:hAnsi="Arial" w:cs="Arial"/>
          <w:sz w:val="24"/>
          <w:szCs w:val="24"/>
          <w:lang w:val="en-GB" w:eastAsia="en-GB"/>
        </w:rPr>
        <w:t>c</w:t>
      </w:r>
      <w:r w:rsidR="0080512F" w:rsidRPr="0080512F">
        <w:rPr>
          <w:rFonts w:ascii="Arial" w:eastAsia="Times New Roman" w:hAnsi="Arial" w:cs="Arial"/>
          <w:sz w:val="24"/>
          <w:szCs w:val="24"/>
          <w:lang w:val="en-GB" w:eastAsia="en-GB"/>
        </w:rPr>
        <w:t>£</w:t>
      </w:r>
      <w:r w:rsidR="00B26D9B">
        <w:rPr>
          <w:rFonts w:ascii="Arial" w:eastAsia="Times New Roman" w:hAnsi="Arial" w:cs="Arial"/>
          <w:sz w:val="24"/>
          <w:szCs w:val="24"/>
          <w:lang w:val="en-GB" w:eastAsia="en-GB"/>
        </w:rPr>
        <w:t>900</w:t>
      </w:r>
      <w:r w:rsidR="0080512F">
        <w:rPr>
          <w:rFonts w:ascii="Arial" w:eastAsia="Times New Roman" w:hAnsi="Arial" w:cs="Arial"/>
          <w:sz w:val="24"/>
          <w:szCs w:val="24"/>
          <w:lang w:val="en-GB" w:eastAsia="en-GB"/>
        </w:rPr>
        <w:t>m,</w:t>
      </w:r>
      <w:r w:rsidR="00A079BC">
        <w:rPr>
          <w:rFonts w:ascii="Arial" w:eastAsia="Times New Roman" w:hAnsi="Arial" w:cs="Arial"/>
          <w:sz w:val="24"/>
          <w:szCs w:val="24"/>
          <w:lang w:val="en-GB" w:eastAsia="en-GB"/>
        </w:rPr>
        <w:t xml:space="preserve"> before it was ended in 2018.</w:t>
      </w:r>
      <w:r w:rsidR="00B26D9B">
        <w:rPr>
          <w:rFonts w:ascii="Arial" w:eastAsia="Times New Roman" w:hAnsi="Arial" w:cs="Arial"/>
          <w:sz w:val="24"/>
          <w:szCs w:val="24"/>
          <w:lang w:val="en-GB" w:eastAsia="en-GB"/>
        </w:rPr>
        <w:t xml:space="preserve"> </w:t>
      </w:r>
      <w:r w:rsidR="008C7A32">
        <w:rPr>
          <w:rFonts w:ascii="Arial" w:eastAsia="Times New Roman" w:hAnsi="Arial" w:cs="Arial"/>
          <w:sz w:val="24"/>
          <w:szCs w:val="24"/>
          <w:lang w:val="en-GB" w:eastAsia="en-GB"/>
        </w:rPr>
        <w:t xml:space="preserve"> </w:t>
      </w:r>
      <w:r w:rsidR="00264695">
        <w:rPr>
          <w:rFonts w:ascii="Arial" w:eastAsia="Times New Roman" w:hAnsi="Arial" w:cs="Arial"/>
          <w:sz w:val="24"/>
          <w:szCs w:val="24"/>
          <w:lang w:val="en-GB" w:eastAsia="en-GB"/>
        </w:rPr>
        <w:t xml:space="preserve"> </w:t>
      </w:r>
      <w:r w:rsidR="00854047" w:rsidRPr="00854047">
        <w:rPr>
          <w:rFonts w:ascii="Arial" w:eastAsia="Times New Roman" w:hAnsi="Arial" w:cs="Arial"/>
          <w:sz w:val="24"/>
          <w:szCs w:val="24"/>
          <w:lang w:val="en-GB" w:eastAsia="en-GB"/>
        </w:rPr>
        <w:t xml:space="preserve"> </w:t>
      </w:r>
    </w:p>
    <w:p w14:paraId="7D1E6A45" w14:textId="77777777" w:rsidR="009C536D" w:rsidRPr="00854047" w:rsidRDefault="009C536D" w:rsidP="00854047">
      <w:pPr>
        <w:spacing w:after="0" w:line="240" w:lineRule="auto"/>
        <w:rPr>
          <w:rFonts w:ascii="Arial" w:eastAsia="Times New Roman" w:hAnsi="Arial" w:cs="Arial"/>
          <w:sz w:val="24"/>
          <w:szCs w:val="24"/>
          <w:lang w:val="en-GB" w:eastAsia="en-GB"/>
        </w:rPr>
      </w:pPr>
    </w:p>
    <w:p w14:paraId="40801699" w14:textId="38A5194A" w:rsidR="00854047" w:rsidRPr="00854047" w:rsidRDefault="00EF05AF" w:rsidP="0085404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Its</w:t>
      </w:r>
      <w:r w:rsidR="009C536D">
        <w:rPr>
          <w:rFonts w:ascii="Arial" w:eastAsia="Times New Roman" w:hAnsi="Arial" w:cs="Arial"/>
          <w:sz w:val="24"/>
          <w:szCs w:val="24"/>
          <w:lang w:val="en-GB" w:eastAsia="en-GB"/>
        </w:rPr>
        <w:t xml:space="preserve"> use </w:t>
      </w:r>
      <w:r w:rsidR="00854047" w:rsidRPr="00854047">
        <w:rPr>
          <w:rFonts w:ascii="Arial" w:eastAsia="Times New Roman" w:hAnsi="Arial" w:cs="Arial"/>
          <w:sz w:val="24"/>
          <w:szCs w:val="24"/>
          <w:lang w:val="en-GB" w:eastAsia="en-GB"/>
        </w:rPr>
        <w:t>in public procurement</w:t>
      </w:r>
      <w:r w:rsidR="004C66AE">
        <w:rPr>
          <w:rFonts w:ascii="Arial" w:eastAsia="Times New Roman" w:hAnsi="Arial" w:cs="Arial"/>
          <w:sz w:val="24"/>
          <w:szCs w:val="24"/>
          <w:lang w:val="en-GB" w:eastAsia="en-GB"/>
        </w:rPr>
        <w:t xml:space="preserve"> was fr</w:t>
      </w:r>
      <w:r w:rsidR="005A55EE">
        <w:rPr>
          <w:rFonts w:ascii="Arial" w:eastAsia="Times New Roman" w:hAnsi="Arial" w:cs="Arial"/>
          <w:sz w:val="24"/>
          <w:szCs w:val="24"/>
          <w:lang w:val="en-GB" w:eastAsia="en-GB"/>
        </w:rPr>
        <w:t>o</w:t>
      </w:r>
      <w:r w:rsidR="004C66AE">
        <w:rPr>
          <w:rFonts w:ascii="Arial" w:eastAsia="Times New Roman" w:hAnsi="Arial" w:cs="Arial"/>
          <w:sz w:val="24"/>
          <w:szCs w:val="24"/>
          <w:lang w:val="en-GB" w:eastAsia="en-GB"/>
        </w:rPr>
        <w:t xml:space="preserve">m the outset </w:t>
      </w:r>
      <w:r w:rsidR="00854047" w:rsidRPr="00854047">
        <w:rPr>
          <w:rFonts w:ascii="Arial" w:eastAsia="Times New Roman" w:hAnsi="Arial" w:cs="Arial"/>
          <w:sz w:val="24"/>
          <w:szCs w:val="24"/>
          <w:lang w:val="en-GB" w:eastAsia="en-GB"/>
        </w:rPr>
        <w:t>controversial</w:t>
      </w:r>
      <w:r w:rsidR="00F308C8">
        <w:rPr>
          <w:rFonts w:ascii="Arial" w:eastAsia="Times New Roman" w:hAnsi="Arial" w:cs="Arial"/>
          <w:sz w:val="24"/>
          <w:szCs w:val="24"/>
          <w:lang w:val="en-GB" w:eastAsia="en-GB"/>
        </w:rPr>
        <w:t>. D</w:t>
      </w:r>
      <w:r w:rsidR="00854047" w:rsidRPr="00854047">
        <w:rPr>
          <w:rFonts w:ascii="Arial" w:eastAsia="Times New Roman" w:hAnsi="Arial" w:cs="Arial"/>
          <w:sz w:val="24"/>
          <w:szCs w:val="24"/>
          <w:lang w:val="en-GB" w:eastAsia="en-GB"/>
        </w:rPr>
        <w:t>etractors characterise</w:t>
      </w:r>
      <w:r w:rsidR="00F308C8">
        <w:rPr>
          <w:rFonts w:ascii="Arial" w:eastAsia="Times New Roman" w:hAnsi="Arial" w:cs="Arial"/>
          <w:sz w:val="24"/>
          <w:szCs w:val="24"/>
          <w:lang w:val="en-GB" w:eastAsia="en-GB"/>
        </w:rPr>
        <w:t>d</w:t>
      </w:r>
      <w:r w:rsidR="00854047" w:rsidRPr="00854047">
        <w:rPr>
          <w:rFonts w:ascii="Arial" w:eastAsia="Times New Roman" w:hAnsi="Arial" w:cs="Arial"/>
          <w:sz w:val="24"/>
          <w:szCs w:val="24"/>
          <w:lang w:val="en-GB" w:eastAsia="en-GB"/>
        </w:rPr>
        <w:t xml:space="preserve"> it as a form of hire purchase where the public sector </w:t>
      </w:r>
      <w:r w:rsidR="00A47095">
        <w:rPr>
          <w:rFonts w:ascii="Arial" w:eastAsia="Times New Roman" w:hAnsi="Arial" w:cs="Arial"/>
          <w:sz w:val="24"/>
          <w:szCs w:val="24"/>
          <w:lang w:val="en-GB" w:eastAsia="en-GB"/>
        </w:rPr>
        <w:t xml:space="preserve">would </w:t>
      </w:r>
      <w:r w:rsidR="00854047" w:rsidRPr="00854047">
        <w:rPr>
          <w:rFonts w:ascii="Arial" w:eastAsia="Times New Roman" w:hAnsi="Arial" w:cs="Arial"/>
          <w:sz w:val="24"/>
          <w:szCs w:val="24"/>
          <w:lang w:val="en-GB" w:eastAsia="en-GB"/>
        </w:rPr>
        <w:t>pay a more expensive price over the entire project period</w:t>
      </w:r>
      <w:r w:rsidR="00A079BC">
        <w:rPr>
          <w:rFonts w:ascii="Arial" w:eastAsia="Times New Roman" w:hAnsi="Arial" w:cs="Arial"/>
          <w:sz w:val="24"/>
          <w:szCs w:val="24"/>
          <w:lang w:val="en-GB" w:eastAsia="en-GB"/>
        </w:rPr>
        <w:t>,</w:t>
      </w:r>
      <w:r w:rsidR="00854047" w:rsidRPr="00854047">
        <w:rPr>
          <w:rFonts w:ascii="Arial" w:eastAsia="Times New Roman" w:hAnsi="Arial" w:cs="Arial"/>
          <w:sz w:val="24"/>
          <w:szCs w:val="24"/>
          <w:lang w:val="en-GB" w:eastAsia="en-GB"/>
        </w:rPr>
        <w:t xml:space="preserve"> compared to what it would have done if it had procured the project conventionally and </w:t>
      </w:r>
      <w:r w:rsidR="00A47095">
        <w:rPr>
          <w:rFonts w:ascii="Arial" w:eastAsia="Times New Roman" w:hAnsi="Arial" w:cs="Arial"/>
          <w:sz w:val="24"/>
          <w:szCs w:val="24"/>
          <w:lang w:val="en-GB" w:eastAsia="en-GB"/>
        </w:rPr>
        <w:t xml:space="preserve">had </w:t>
      </w:r>
      <w:r w:rsidR="00854047" w:rsidRPr="00854047">
        <w:rPr>
          <w:rFonts w:ascii="Arial" w:eastAsia="Times New Roman" w:hAnsi="Arial" w:cs="Arial"/>
          <w:sz w:val="24"/>
          <w:szCs w:val="24"/>
          <w:lang w:val="en-GB" w:eastAsia="en-GB"/>
        </w:rPr>
        <w:t xml:space="preserve">paid up-front for the asset and procured management and maintenance services separately. </w:t>
      </w:r>
    </w:p>
    <w:p w14:paraId="0CEFB4A4" w14:textId="77777777" w:rsidR="00854047" w:rsidRPr="00854047" w:rsidRDefault="00854047" w:rsidP="00854047">
      <w:pPr>
        <w:spacing w:after="0" w:line="240" w:lineRule="auto"/>
        <w:rPr>
          <w:rFonts w:ascii="Arial" w:eastAsia="Times New Roman" w:hAnsi="Arial" w:cs="Arial"/>
          <w:sz w:val="24"/>
          <w:szCs w:val="24"/>
          <w:lang w:val="en-GB" w:eastAsia="en-GB"/>
        </w:rPr>
      </w:pPr>
    </w:p>
    <w:p w14:paraId="1D0A4C99" w14:textId="77777777" w:rsidR="00212B16" w:rsidRPr="00D80012" w:rsidRDefault="00854047" w:rsidP="00854047">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 xml:space="preserve">The </w:t>
      </w:r>
      <w:r w:rsidRPr="00D80012">
        <w:rPr>
          <w:rFonts w:ascii="Arial" w:eastAsia="Times New Roman" w:hAnsi="Arial" w:cs="Arial"/>
          <w:sz w:val="24"/>
          <w:szCs w:val="24"/>
          <w:lang w:val="en-GB" w:eastAsia="en-GB"/>
        </w:rPr>
        <w:t xml:space="preserve">public sector trade unions also accused PFI as being a Trojan </w:t>
      </w:r>
      <w:r w:rsidR="002F6DEF" w:rsidRPr="00D80012">
        <w:rPr>
          <w:rFonts w:ascii="Arial" w:eastAsia="Times New Roman" w:hAnsi="Arial" w:cs="Arial"/>
          <w:sz w:val="24"/>
          <w:szCs w:val="24"/>
          <w:lang w:val="en-GB" w:eastAsia="en-GB"/>
        </w:rPr>
        <w:t>H</w:t>
      </w:r>
      <w:r w:rsidRPr="00D80012">
        <w:rPr>
          <w:rFonts w:ascii="Arial" w:eastAsia="Times New Roman" w:hAnsi="Arial" w:cs="Arial"/>
          <w:sz w:val="24"/>
          <w:szCs w:val="24"/>
          <w:lang w:val="en-GB" w:eastAsia="en-GB"/>
        </w:rPr>
        <w:t>orse, where private sector companies can whittle away the working terms and conditions of already disadvantaged groups of workers under the guise of operating efficiency.</w:t>
      </w:r>
    </w:p>
    <w:p w14:paraId="5E9F1406" w14:textId="77777777" w:rsidR="00212B16" w:rsidRPr="00D80012" w:rsidRDefault="00212B16" w:rsidP="00854047">
      <w:pPr>
        <w:spacing w:after="0" w:line="240" w:lineRule="auto"/>
        <w:rPr>
          <w:rFonts w:ascii="Arial" w:eastAsia="Times New Roman" w:hAnsi="Arial" w:cs="Arial"/>
          <w:sz w:val="24"/>
          <w:szCs w:val="24"/>
          <w:lang w:val="en-GB" w:eastAsia="en-GB"/>
        </w:rPr>
      </w:pPr>
    </w:p>
    <w:p w14:paraId="6B29CAC7" w14:textId="2D4AB66A" w:rsidR="00A1475C" w:rsidRPr="00D80012" w:rsidRDefault="00854047"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Often the case </w:t>
      </w:r>
      <w:r w:rsidR="00E14D0C">
        <w:rPr>
          <w:rFonts w:ascii="Arial" w:eastAsia="Times New Roman" w:hAnsi="Arial" w:cs="Arial"/>
          <w:sz w:val="24"/>
          <w:szCs w:val="24"/>
          <w:lang w:val="en-GB" w:eastAsia="en-GB"/>
        </w:rPr>
        <w:t xml:space="preserve">both </w:t>
      </w:r>
      <w:r w:rsidRPr="00D80012">
        <w:rPr>
          <w:rFonts w:ascii="Arial" w:eastAsia="Times New Roman" w:hAnsi="Arial" w:cs="Arial"/>
          <w:sz w:val="24"/>
          <w:szCs w:val="24"/>
          <w:lang w:val="en-GB" w:eastAsia="en-GB"/>
        </w:rPr>
        <w:t>for and against the PFI</w:t>
      </w:r>
      <w:r w:rsidR="001F6914" w:rsidRPr="00D80012">
        <w:rPr>
          <w:rFonts w:ascii="Arial" w:eastAsia="Times New Roman" w:hAnsi="Arial" w:cs="Arial"/>
          <w:sz w:val="24"/>
          <w:szCs w:val="24"/>
          <w:lang w:val="en-GB" w:eastAsia="en-GB"/>
        </w:rPr>
        <w:t>, however,</w:t>
      </w:r>
      <w:r w:rsidRPr="00D80012">
        <w:rPr>
          <w:rFonts w:ascii="Arial" w:eastAsia="Times New Roman" w:hAnsi="Arial" w:cs="Arial"/>
          <w:sz w:val="24"/>
          <w:szCs w:val="24"/>
          <w:lang w:val="en-GB" w:eastAsia="en-GB"/>
        </w:rPr>
        <w:t xml:space="preserve"> </w:t>
      </w:r>
      <w:r w:rsidR="0019194A" w:rsidRPr="00D80012">
        <w:rPr>
          <w:rFonts w:ascii="Arial" w:eastAsia="Times New Roman" w:hAnsi="Arial" w:cs="Arial"/>
          <w:sz w:val="24"/>
          <w:szCs w:val="24"/>
          <w:lang w:val="en-GB" w:eastAsia="en-GB"/>
        </w:rPr>
        <w:t xml:space="preserve">was </w:t>
      </w:r>
      <w:r w:rsidRPr="00D80012">
        <w:rPr>
          <w:rFonts w:ascii="Arial" w:eastAsia="Times New Roman" w:hAnsi="Arial" w:cs="Arial"/>
          <w:sz w:val="24"/>
          <w:szCs w:val="24"/>
          <w:lang w:val="en-GB" w:eastAsia="en-GB"/>
        </w:rPr>
        <w:t xml:space="preserve">based on </w:t>
      </w:r>
      <w:r w:rsidR="0019194A" w:rsidRPr="00D80012">
        <w:rPr>
          <w:rFonts w:ascii="Arial" w:eastAsia="Times New Roman" w:hAnsi="Arial" w:cs="Arial"/>
          <w:sz w:val="24"/>
          <w:szCs w:val="24"/>
          <w:lang w:val="en-GB" w:eastAsia="en-GB"/>
        </w:rPr>
        <w:t xml:space="preserve">pre-determined </w:t>
      </w:r>
      <w:r w:rsidRPr="00D80012">
        <w:rPr>
          <w:rFonts w:ascii="Arial" w:eastAsia="Times New Roman" w:hAnsi="Arial" w:cs="Arial"/>
          <w:sz w:val="24"/>
          <w:szCs w:val="24"/>
          <w:lang w:val="en-GB" w:eastAsia="en-GB"/>
        </w:rPr>
        <w:t xml:space="preserve">assertion </w:t>
      </w:r>
      <w:r w:rsidR="002F6DEF" w:rsidRPr="00D80012">
        <w:rPr>
          <w:rFonts w:ascii="Arial" w:eastAsia="Times New Roman" w:hAnsi="Arial" w:cs="Arial"/>
          <w:sz w:val="24"/>
          <w:szCs w:val="24"/>
          <w:lang w:val="en-GB" w:eastAsia="en-GB"/>
        </w:rPr>
        <w:t xml:space="preserve">and/or </w:t>
      </w:r>
      <w:r w:rsidR="00BE1FF5" w:rsidRPr="00D80012">
        <w:rPr>
          <w:rFonts w:ascii="Arial" w:eastAsia="Times New Roman" w:hAnsi="Arial" w:cs="Arial"/>
          <w:sz w:val="24"/>
          <w:szCs w:val="24"/>
          <w:lang w:val="en-GB" w:eastAsia="en-GB"/>
        </w:rPr>
        <w:t>the use of partial evidence with undeclared assumptions</w:t>
      </w:r>
      <w:r w:rsidR="00997251">
        <w:rPr>
          <w:rFonts w:ascii="Arial" w:eastAsia="Times New Roman" w:hAnsi="Arial" w:cs="Arial"/>
          <w:sz w:val="24"/>
          <w:szCs w:val="24"/>
          <w:lang w:val="en-GB" w:eastAsia="en-GB"/>
        </w:rPr>
        <w:t xml:space="preserve"> rampant</w:t>
      </w:r>
      <w:r w:rsidR="002F6DEF" w:rsidRPr="00D80012">
        <w:rPr>
          <w:rFonts w:ascii="Arial" w:eastAsia="Times New Roman" w:hAnsi="Arial" w:cs="Arial"/>
          <w:sz w:val="24"/>
          <w:szCs w:val="24"/>
          <w:lang w:val="en-GB" w:eastAsia="en-GB"/>
        </w:rPr>
        <w:t xml:space="preserve">. </w:t>
      </w:r>
    </w:p>
    <w:p w14:paraId="0567A4F2" w14:textId="77777777" w:rsidR="00A1475C" w:rsidRPr="00D80012" w:rsidRDefault="00A1475C" w:rsidP="00984D94">
      <w:pPr>
        <w:spacing w:after="0" w:line="240" w:lineRule="auto"/>
        <w:rPr>
          <w:rFonts w:ascii="Arial" w:eastAsia="Times New Roman" w:hAnsi="Arial" w:cs="Arial"/>
          <w:sz w:val="24"/>
          <w:szCs w:val="24"/>
          <w:lang w:val="en-GB" w:eastAsia="en-GB"/>
        </w:rPr>
      </w:pPr>
    </w:p>
    <w:p w14:paraId="730E846C" w14:textId="63718F72" w:rsidR="00984D94" w:rsidRPr="00D80012" w:rsidRDefault="002F6DEF"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D</w:t>
      </w:r>
      <w:r w:rsidR="00984D94" w:rsidRPr="00D80012">
        <w:rPr>
          <w:rFonts w:ascii="Arial" w:eastAsia="Times New Roman" w:hAnsi="Arial" w:cs="Arial"/>
          <w:sz w:val="24"/>
          <w:szCs w:val="24"/>
          <w:lang w:val="en-GB" w:eastAsia="en-GB"/>
        </w:rPr>
        <w:t xml:space="preserve">efinitive statements about the relative efficiency of a PFI contract relative to a conventional or other procurement </w:t>
      </w:r>
      <w:r w:rsidR="00C91866" w:rsidRPr="00D80012">
        <w:rPr>
          <w:rFonts w:ascii="Arial" w:eastAsia="Times New Roman" w:hAnsi="Arial" w:cs="Arial"/>
          <w:sz w:val="24"/>
          <w:szCs w:val="24"/>
          <w:lang w:val="en-GB" w:eastAsia="en-GB"/>
        </w:rPr>
        <w:t>dominated the debate</w:t>
      </w:r>
      <w:r w:rsidR="009F1316">
        <w:rPr>
          <w:rFonts w:ascii="Arial" w:eastAsia="Times New Roman" w:hAnsi="Arial" w:cs="Arial"/>
          <w:sz w:val="24"/>
          <w:szCs w:val="24"/>
          <w:lang w:val="en-GB" w:eastAsia="en-GB"/>
        </w:rPr>
        <w:t>,</w:t>
      </w:r>
      <w:r w:rsidR="00984D94" w:rsidRPr="00D80012">
        <w:rPr>
          <w:rFonts w:ascii="Arial" w:eastAsia="Times New Roman" w:hAnsi="Arial" w:cs="Arial"/>
          <w:sz w:val="24"/>
          <w:szCs w:val="24"/>
          <w:lang w:val="en-GB" w:eastAsia="en-GB"/>
        </w:rPr>
        <w:t xml:space="preserve"> despite </w:t>
      </w:r>
      <w:r w:rsidR="00C91866" w:rsidRPr="00D80012">
        <w:rPr>
          <w:rFonts w:ascii="Arial" w:eastAsia="Times New Roman" w:hAnsi="Arial" w:cs="Arial"/>
          <w:sz w:val="24"/>
          <w:szCs w:val="24"/>
          <w:lang w:val="en-GB" w:eastAsia="en-GB"/>
        </w:rPr>
        <w:t xml:space="preserve">the manifold </w:t>
      </w:r>
      <w:r w:rsidR="00984D94" w:rsidRPr="00D80012">
        <w:rPr>
          <w:rFonts w:ascii="Arial" w:eastAsia="Times New Roman" w:hAnsi="Arial" w:cs="Arial"/>
          <w:sz w:val="24"/>
          <w:szCs w:val="24"/>
          <w:lang w:val="en-GB" w:eastAsia="en-GB"/>
        </w:rPr>
        <w:t>uncertainties</w:t>
      </w:r>
      <w:r w:rsidR="00C91866" w:rsidRPr="00D80012">
        <w:rPr>
          <w:rFonts w:ascii="Arial" w:eastAsia="Times New Roman" w:hAnsi="Arial" w:cs="Arial"/>
          <w:sz w:val="24"/>
          <w:szCs w:val="24"/>
          <w:lang w:val="en-GB" w:eastAsia="en-GB"/>
        </w:rPr>
        <w:t xml:space="preserve"> involved</w:t>
      </w:r>
      <w:r w:rsidR="00984D94" w:rsidRPr="00D80012">
        <w:rPr>
          <w:rFonts w:ascii="Arial" w:eastAsia="Times New Roman" w:hAnsi="Arial" w:cs="Arial"/>
          <w:sz w:val="24"/>
          <w:szCs w:val="24"/>
          <w:lang w:val="en-GB" w:eastAsia="en-GB"/>
        </w:rPr>
        <w:t xml:space="preserve">. </w:t>
      </w:r>
    </w:p>
    <w:p w14:paraId="0EFB0C96" w14:textId="77777777" w:rsidR="00984D94" w:rsidRPr="00D80012" w:rsidRDefault="00984D94" w:rsidP="00984D94">
      <w:pPr>
        <w:spacing w:after="0" w:line="240" w:lineRule="auto"/>
        <w:rPr>
          <w:rFonts w:ascii="Arial" w:eastAsia="Times New Roman" w:hAnsi="Arial" w:cs="Arial"/>
          <w:sz w:val="24"/>
          <w:szCs w:val="24"/>
          <w:lang w:val="en-GB" w:eastAsia="en-GB"/>
        </w:rPr>
      </w:pPr>
    </w:p>
    <w:p w14:paraId="5D5A0E77" w14:textId="2FAFA50B" w:rsidR="006944A4" w:rsidRDefault="009C4588"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lastRenderedPageBreak/>
        <w:t>As</w:t>
      </w:r>
      <w:r w:rsidR="001B77D2" w:rsidRPr="00D80012">
        <w:rPr>
          <w:rFonts w:ascii="Arial" w:eastAsia="Times New Roman" w:hAnsi="Arial" w:cs="Arial"/>
          <w:sz w:val="24"/>
          <w:szCs w:val="24"/>
          <w:lang w:val="en-GB" w:eastAsia="en-GB"/>
        </w:rPr>
        <w:t xml:space="preserve"> usually, the devil was in the </w:t>
      </w:r>
      <w:r w:rsidR="00352627" w:rsidRPr="00D80012">
        <w:rPr>
          <w:rFonts w:ascii="Arial" w:eastAsia="Times New Roman" w:hAnsi="Arial" w:cs="Arial"/>
          <w:sz w:val="24"/>
          <w:szCs w:val="24"/>
          <w:lang w:val="en-GB" w:eastAsia="en-GB"/>
        </w:rPr>
        <w:t>complex, technical</w:t>
      </w:r>
      <w:r w:rsidR="00F4404B" w:rsidRPr="00D80012">
        <w:rPr>
          <w:rFonts w:ascii="Arial" w:eastAsia="Times New Roman" w:hAnsi="Arial" w:cs="Arial"/>
          <w:sz w:val="24"/>
          <w:szCs w:val="24"/>
          <w:lang w:val="en-GB" w:eastAsia="en-GB"/>
        </w:rPr>
        <w:t>,</w:t>
      </w:r>
      <w:r w:rsidR="00352627" w:rsidRPr="00D80012">
        <w:rPr>
          <w:rFonts w:ascii="Arial" w:eastAsia="Times New Roman" w:hAnsi="Arial" w:cs="Arial"/>
          <w:sz w:val="24"/>
          <w:szCs w:val="24"/>
          <w:lang w:val="en-GB" w:eastAsia="en-GB"/>
        </w:rPr>
        <w:t xml:space="preserve"> and</w:t>
      </w:r>
      <w:r w:rsidR="00B706EF" w:rsidRPr="00D80012">
        <w:rPr>
          <w:rFonts w:ascii="Arial" w:eastAsia="Times New Roman" w:hAnsi="Arial" w:cs="Arial"/>
          <w:sz w:val="24"/>
          <w:szCs w:val="24"/>
          <w:lang w:val="en-GB" w:eastAsia="en-GB"/>
        </w:rPr>
        <w:t xml:space="preserve"> the</w:t>
      </w:r>
      <w:r w:rsidR="00352627" w:rsidRPr="00D80012">
        <w:rPr>
          <w:rFonts w:ascii="Arial" w:eastAsia="Times New Roman" w:hAnsi="Arial" w:cs="Arial"/>
          <w:sz w:val="24"/>
          <w:szCs w:val="24"/>
          <w:lang w:val="en-GB" w:eastAsia="en-GB"/>
        </w:rPr>
        <w:t xml:space="preserve"> often </w:t>
      </w:r>
      <w:r w:rsidR="001B77D2" w:rsidRPr="00D80012">
        <w:rPr>
          <w:rFonts w:ascii="Arial" w:eastAsia="Times New Roman" w:hAnsi="Arial" w:cs="Arial"/>
          <w:sz w:val="24"/>
          <w:szCs w:val="24"/>
          <w:lang w:val="en-GB" w:eastAsia="en-GB"/>
        </w:rPr>
        <w:t>ob</w:t>
      </w:r>
      <w:r w:rsidR="00B706EF" w:rsidRPr="00D80012">
        <w:rPr>
          <w:rFonts w:ascii="Arial" w:eastAsia="Times New Roman" w:hAnsi="Arial" w:cs="Arial"/>
          <w:sz w:val="24"/>
          <w:szCs w:val="24"/>
          <w:lang w:val="en-GB" w:eastAsia="en-GB"/>
        </w:rPr>
        <w:t>scured</w:t>
      </w:r>
      <w:r w:rsidR="00EF05AF" w:rsidRPr="00D80012">
        <w:rPr>
          <w:rFonts w:ascii="Arial" w:eastAsia="Times New Roman" w:hAnsi="Arial" w:cs="Arial"/>
          <w:sz w:val="24"/>
          <w:szCs w:val="24"/>
          <w:lang w:val="en-GB" w:eastAsia="en-GB"/>
        </w:rPr>
        <w:t>,</w:t>
      </w:r>
      <w:r w:rsidR="00B706EF" w:rsidRPr="00D80012">
        <w:rPr>
          <w:rFonts w:ascii="Arial" w:eastAsia="Times New Roman" w:hAnsi="Arial" w:cs="Arial"/>
          <w:sz w:val="24"/>
          <w:szCs w:val="24"/>
          <w:lang w:val="en-GB" w:eastAsia="en-GB"/>
        </w:rPr>
        <w:t xml:space="preserve"> </w:t>
      </w:r>
      <w:r w:rsidR="001B77D2" w:rsidRPr="00D80012">
        <w:rPr>
          <w:rFonts w:ascii="Arial" w:eastAsia="Times New Roman" w:hAnsi="Arial" w:cs="Arial"/>
          <w:sz w:val="24"/>
          <w:szCs w:val="24"/>
          <w:lang w:val="en-GB" w:eastAsia="en-GB"/>
        </w:rPr>
        <w:t>detail.</w:t>
      </w:r>
    </w:p>
    <w:p w14:paraId="005B618E" w14:textId="77777777" w:rsidR="0025315B" w:rsidRDefault="0025315B" w:rsidP="00984D94">
      <w:pPr>
        <w:spacing w:after="0" w:line="240" w:lineRule="auto"/>
        <w:rPr>
          <w:rFonts w:ascii="Arial" w:eastAsia="Times New Roman" w:hAnsi="Arial" w:cs="Arial"/>
          <w:sz w:val="24"/>
          <w:szCs w:val="24"/>
          <w:lang w:val="en-GB" w:eastAsia="en-GB"/>
        </w:rPr>
      </w:pPr>
    </w:p>
    <w:p w14:paraId="501E98F4" w14:textId="0D309694" w:rsidR="00984D94" w:rsidRPr="00D80012" w:rsidRDefault="001F691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In practice, </w:t>
      </w:r>
      <w:r w:rsidR="00984D94" w:rsidRPr="00D80012">
        <w:rPr>
          <w:rFonts w:ascii="Arial" w:eastAsia="Times New Roman" w:hAnsi="Arial" w:cs="Arial"/>
          <w:sz w:val="24"/>
          <w:szCs w:val="24"/>
          <w:lang w:val="en-GB" w:eastAsia="en-GB"/>
        </w:rPr>
        <w:t xml:space="preserve">Public </w:t>
      </w:r>
      <w:r w:rsidR="002E76AA">
        <w:rPr>
          <w:rFonts w:ascii="Arial" w:eastAsia="Times New Roman" w:hAnsi="Arial" w:cs="Arial"/>
          <w:sz w:val="24"/>
          <w:szCs w:val="24"/>
          <w:lang w:val="en-GB" w:eastAsia="en-GB"/>
        </w:rPr>
        <w:t>S</w:t>
      </w:r>
      <w:r w:rsidR="00984D94" w:rsidRPr="00D80012">
        <w:rPr>
          <w:rFonts w:ascii="Arial" w:eastAsia="Times New Roman" w:hAnsi="Arial" w:cs="Arial"/>
          <w:sz w:val="24"/>
          <w:szCs w:val="24"/>
          <w:lang w:val="en-GB" w:eastAsia="en-GB"/>
        </w:rPr>
        <w:t xml:space="preserve">ector </w:t>
      </w:r>
      <w:r w:rsidR="00C609B5" w:rsidRPr="00D80012">
        <w:rPr>
          <w:rFonts w:ascii="Arial" w:eastAsia="Times New Roman" w:hAnsi="Arial" w:cs="Arial"/>
          <w:sz w:val="24"/>
          <w:szCs w:val="24"/>
          <w:lang w:val="en-GB" w:eastAsia="en-GB"/>
        </w:rPr>
        <w:t xml:space="preserve">(cost) </w:t>
      </w:r>
      <w:r w:rsidR="002E76AA">
        <w:rPr>
          <w:rFonts w:ascii="Arial" w:eastAsia="Times New Roman" w:hAnsi="Arial" w:cs="Arial"/>
          <w:sz w:val="24"/>
          <w:szCs w:val="24"/>
          <w:lang w:val="en-GB" w:eastAsia="en-GB"/>
        </w:rPr>
        <w:t>C</w:t>
      </w:r>
      <w:r w:rsidR="00984D94" w:rsidRPr="00D80012">
        <w:rPr>
          <w:rFonts w:ascii="Arial" w:eastAsia="Times New Roman" w:hAnsi="Arial" w:cs="Arial"/>
          <w:sz w:val="24"/>
          <w:szCs w:val="24"/>
          <w:lang w:val="en-GB" w:eastAsia="en-GB"/>
        </w:rPr>
        <w:t>omparators</w:t>
      </w:r>
      <w:r w:rsidRPr="00D80012">
        <w:rPr>
          <w:rFonts w:ascii="Arial" w:eastAsia="Times New Roman" w:hAnsi="Arial" w:cs="Arial"/>
          <w:sz w:val="24"/>
          <w:szCs w:val="24"/>
          <w:lang w:val="en-GB" w:eastAsia="en-GB"/>
        </w:rPr>
        <w:t xml:space="preserve"> (PSC’s),</w:t>
      </w:r>
      <w:r w:rsidR="00984D94" w:rsidRPr="00D80012">
        <w:rPr>
          <w:rFonts w:ascii="Arial" w:eastAsia="Times New Roman" w:hAnsi="Arial" w:cs="Arial"/>
          <w:sz w:val="24"/>
          <w:szCs w:val="24"/>
          <w:lang w:val="en-GB" w:eastAsia="en-GB"/>
        </w:rPr>
        <w:t xml:space="preserve"> inevitably</w:t>
      </w:r>
      <w:r w:rsidRPr="00D80012">
        <w:rPr>
          <w:rFonts w:ascii="Arial" w:eastAsia="Times New Roman" w:hAnsi="Arial" w:cs="Arial"/>
          <w:sz w:val="24"/>
          <w:szCs w:val="24"/>
          <w:lang w:val="en-GB" w:eastAsia="en-GB"/>
        </w:rPr>
        <w:t>,</w:t>
      </w:r>
      <w:r w:rsidR="00984D94" w:rsidRPr="00D80012">
        <w:rPr>
          <w:rFonts w:ascii="Arial" w:eastAsia="Times New Roman" w:hAnsi="Arial" w:cs="Arial"/>
          <w:sz w:val="24"/>
          <w:szCs w:val="24"/>
          <w:lang w:val="en-GB" w:eastAsia="en-GB"/>
        </w:rPr>
        <w:t xml:space="preserve"> incorporated assumptions based on selected previous projects</w:t>
      </w:r>
      <w:r w:rsidR="00331019" w:rsidRPr="00D80012">
        <w:rPr>
          <w:rFonts w:ascii="Arial" w:eastAsia="Times New Roman" w:hAnsi="Arial" w:cs="Arial"/>
          <w:sz w:val="24"/>
          <w:szCs w:val="24"/>
          <w:lang w:val="en-GB" w:eastAsia="en-GB"/>
        </w:rPr>
        <w:t xml:space="preserve">, the costs of which were, sometimes, inflated, to secure the capital funding (PFI Credits) </w:t>
      </w:r>
      <w:r w:rsidR="00202F68">
        <w:rPr>
          <w:rFonts w:ascii="Arial" w:eastAsia="Times New Roman" w:hAnsi="Arial" w:cs="Arial"/>
          <w:sz w:val="24"/>
          <w:szCs w:val="24"/>
          <w:lang w:val="en-GB" w:eastAsia="en-GB"/>
        </w:rPr>
        <w:t xml:space="preserve">that </w:t>
      </w:r>
      <w:r w:rsidR="00331019" w:rsidRPr="00D80012">
        <w:rPr>
          <w:rFonts w:ascii="Arial" w:eastAsia="Times New Roman" w:hAnsi="Arial" w:cs="Arial"/>
          <w:sz w:val="24"/>
          <w:szCs w:val="24"/>
          <w:lang w:val="en-GB" w:eastAsia="en-GB"/>
        </w:rPr>
        <w:t xml:space="preserve">otherwise </w:t>
      </w:r>
      <w:r w:rsidR="00202F68">
        <w:rPr>
          <w:rFonts w:ascii="Arial" w:eastAsia="Times New Roman" w:hAnsi="Arial" w:cs="Arial"/>
          <w:sz w:val="24"/>
          <w:szCs w:val="24"/>
          <w:lang w:val="en-GB" w:eastAsia="en-GB"/>
        </w:rPr>
        <w:t xml:space="preserve">were not </w:t>
      </w:r>
      <w:r w:rsidR="00331019" w:rsidRPr="00D80012">
        <w:rPr>
          <w:rFonts w:ascii="Arial" w:eastAsia="Times New Roman" w:hAnsi="Arial" w:cs="Arial"/>
          <w:sz w:val="24"/>
          <w:szCs w:val="24"/>
          <w:lang w:val="en-GB" w:eastAsia="en-GB"/>
        </w:rPr>
        <w:t xml:space="preserve">available to </w:t>
      </w:r>
      <w:r w:rsidR="00202F68">
        <w:rPr>
          <w:rFonts w:ascii="Arial" w:eastAsia="Times New Roman" w:hAnsi="Arial" w:cs="Arial"/>
          <w:sz w:val="24"/>
          <w:szCs w:val="24"/>
          <w:lang w:val="en-GB" w:eastAsia="en-GB"/>
        </w:rPr>
        <w:t xml:space="preserve">the commissioning </w:t>
      </w:r>
      <w:r w:rsidR="00EE2728" w:rsidRPr="00D80012">
        <w:rPr>
          <w:rFonts w:ascii="Arial" w:eastAsia="Times New Roman" w:hAnsi="Arial" w:cs="Arial"/>
          <w:sz w:val="24"/>
          <w:szCs w:val="24"/>
          <w:lang w:val="en-GB" w:eastAsia="en-GB"/>
        </w:rPr>
        <w:t>public authority</w:t>
      </w:r>
      <w:r w:rsidR="00984D94" w:rsidRPr="00D80012">
        <w:rPr>
          <w:rFonts w:ascii="Arial" w:eastAsia="Times New Roman" w:hAnsi="Arial" w:cs="Arial"/>
          <w:sz w:val="24"/>
          <w:szCs w:val="24"/>
          <w:lang w:val="en-GB" w:eastAsia="en-GB"/>
        </w:rPr>
        <w:t>. Poor baseline performance levels</w:t>
      </w:r>
      <w:r w:rsidR="00D853CF" w:rsidRPr="00D80012">
        <w:rPr>
          <w:rFonts w:ascii="Arial" w:eastAsia="Times New Roman" w:hAnsi="Arial" w:cs="Arial"/>
          <w:sz w:val="24"/>
          <w:szCs w:val="24"/>
          <w:lang w:val="en-GB" w:eastAsia="en-GB"/>
        </w:rPr>
        <w:t>, likewise,</w:t>
      </w:r>
      <w:r w:rsidR="00984D94" w:rsidRPr="00D80012">
        <w:rPr>
          <w:rFonts w:ascii="Arial" w:eastAsia="Times New Roman" w:hAnsi="Arial" w:cs="Arial"/>
          <w:sz w:val="24"/>
          <w:szCs w:val="24"/>
          <w:lang w:val="en-GB" w:eastAsia="en-GB"/>
        </w:rPr>
        <w:t xml:space="preserve"> may have been </w:t>
      </w:r>
      <w:r w:rsidR="00C609B5" w:rsidRPr="00D80012">
        <w:rPr>
          <w:rFonts w:ascii="Arial" w:eastAsia="Times New Roman" w:hAnsi="Arial" w:cs="Arial"/>
          <w:sz w:val="24"/>
          <w:szCs w:val="24"/>
          <w:lang w:val="en-GB" w:eastAsia="en-GB"/>
        </w:rPr>
        <w:t>included in business cases</w:t>
      </w:r>
      <w:r w:rsidR="00B706EF" w:rsidRPr="00D80012">
        <w:rPr>
          <w:rFonts w:ascii="Arial" w:eastAsia="Times New Roman" w:hAnsi="Arial" w:cs="Arial"/>
          <w:sz w:val="24"/>
          <w:szCs w:val="24"/>
          <w:lang w:val="en-GB" w:eastAsia="en-GB"/>
        </w:rPr>
        <w:t xml:space="preserve"> to provide evidential justification for</w:t>
      </w:r>
      <w:r w:rsidR="00984D94" w:rsidRPr="00D80012">
        <w:rPr>
          <w:rFonts w:ascii="Arial" w:eastAsia="Times New Roman" w:hAnsi="Arial" w:cs="Arial"/>
          <w:sz w:val="24"/>
          <w:szCs w:val="24"/>
          <w:lang w:val="en-GB" w:eastAsia="en-GB"/>
        </w:rPr>
        <w:t xml:space="preserve"> using the PFI procurement route. </w:t>
      </w:r>
    </w:p>
    <w:p w14:paraId="1BDC7B2A" w14:textId="1346C67D" w:rsidR="000F2654" w:rsidRPr="00D80012" w:rsidRDefault="000F2654" w:rsidP="00984D94">
      <w:pPr>
        <w:spacing w:after="0" w:line="240" w:lineRule="auto"/>
        <w:rPr>
          <w:rFonts w:ascii="Arial" w:eastAsia="Times New Roman" w:hAnsi="Arial" w:cs="Arial"/>
          <w:sz w:val="24"/>
          <w:szCs w:val="24"/>
          <w:lang w:val="en-GB" w:eastAsia="en-GB"/>
        </w:rPr>
      </w:pPr>
    </w:p>
    <w:p w14:paraId="40DEA6E7" w14:textId="5BF09928" w:rsidR="00984D94" w:rsidRDefault="000F265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Indeed</w:t>
      </w:r>
      <w:r w:rsidR="00C878F7" w:rsidRPr="00D80012">
        <w:rPr>
          <w:rFonts w:ascii="Arial" w:eastAsia="Times New Roman" w:hAnsi="Arial" w:cs="Arial"/>
          <w:sz w:val="24"/>
          <w:szCs w:val="24"/>
          <w:lang w:val="en-GB" w:eastAsia="en-GB"/>
        </w:rPr>
        <w:t xml:space="preserve"> subsequent evaluations by </w:t>
      </w:r>
      <w:r w:rsidR="008E6630" w:rsidRPr="00D80012">
        <w:rPr>
          <w:rFonts w:ascii="Arial" w:eastAsia="Times New Roman" w:hAnsi="Arial" w:cs="Arial"/>
          <w:sz w:val="24"/>
          <w:szCs w:val="24"/>
          <w:lang w:val="en-GB" w:eastAsia="en-GB"/>
        </w:rPr>
        <w:t xml:space="preserve">NAO (2013 and 2017) </w:t>
      </w:r>
      <w:r w:rsidR="008124B9" w:rsidRPr="00D80012">
        <w:rPr>
          <w:rFonts w:ascii="Arial" w:eastAsia="Times New Roman" w:hAnsi="Arial" w:cs="Arial"/>
          <w:sz w:val="24"/>
          <w:szCs w:val="24"/>
          <w:lang w:val="en-GB" w:eastAsia="en-GB"/>
        </w:rPr>
        <w:t xml:space="preserve">concluded </w:t>
      </w:r>
      <w:r w:rsidR="002A2CE6" w:rsidRPr="00D80012">
        <w:rPr>
          <w:rFonts w:ascii="Arial" w:eastAsia="Times New Roman" w:hAnsi="Arial" w:cs="Arial"/>
          <w:sz w:val="24"/>
          <w:szCs w:val="24"/>
          <w:lang w:val="en-GB" w:eastAsia="en-GB"/>
        </w:rPr>
        <w:t xml:space="preserve">that </w:t>
      </w:r>
      <w:r w:rsidR="008124B9" w:rsidRPr="00D80012">
        <w:rPr>
          <w:rFonts w:ascii="Arial" w:eastAsia="Times New Roman" w:hAnsi="Arial" w:cs="Arial"/>
          <w:sz w:val="24"/>
          <w:szCs w:val="24"/>
          <w:lang w:val="en-GB" w:eastAsia="en-GB"/>
        </w:rPr>
        <w:t>the PSC process</w:t>
      </w:r>
      <w:r w:rsidR="00232E06" w:rsidRPr="00D80012">
        <w:rPr>
          <w:rFonts w:ascii="Arial" w:eastAsia="Times New Roman" w:hAnsi="Arial" w:cs="Arial"/>
          <w:sz w:val="24"/>
          <w:szCs w:val="24"/>
          <w:lang w:val="en-GB" w:eastAsia="en-GB"/>
        </w:rPr>
        <w:t xml:space="preserve"> that was </w:t>
      </w:r>
      <w:r w:rsidR="005E1A3B" w:rsidRPr="00D80012">
        <w:rPr>
          <w:rFonts w:ascii="Arial" w:eastAsia="Times New Roman" w:hAnsi="Arial" w:cs="Arial"/>
          <w:sz w:val="24"/>
          <w:szCs w:val="24"/>
          <w:lang w:val="en-GB" w:eastAsia="en-GB"/>
        </w:rPr>
        <w:t>a</w:t>
      </w:r>
      <w:r w:rsidR="00232E06" w:rsidRPr="00D80012">
        <w:rPr>
          <w:rFonts w:ascii="Arial" w:eastAsia="Times New Roman" w:hAnsi="Arial" w:cs="Arial"/>
          <w:sz w:val="24"/>
          <w:szCs w:val="24"/>
          <w:lang w:val="en-GB" w:eastAsia="en-GB"/>
        </w:rPr>
        <w:t>pplied until 2012 (when it was ab</w:t>
      </w:r>
      <w:r w:rsidR="005E1A3B" w:rsidRPr="00D80012">
        <w:rPr>
          <w:rFonts w:ascii="Arial" w:eastAsia="Times New Roman" w:hAnsi="Arial" w:cs="Arial"/>
          <w:sz w:val="24"/>
          <w:szCs w:val="24"/>
          <w:lang w:val="en-GB" w:eastAsia="en-GB"/>
        </w:rPr>
        <w:t xml:space="preserve">olished </w:t>
      </w:r>
      <w:r w:rsidR="00232E06" w:rsidRPr="00D80012">
        <w:rPr>
          <w:rFonts w:ascii="Arial" w:eastAsia="Times New Roman" w:hAnsi="Arial" w:cs="Arial"/>
          <w:sz w:val="24"/>
          <w:szCs w:val="24"/>
          <w:lang w:val="en-GB" w:eastAsia="en-GB"/>
        </w:rPr>
        <w:t>by the Treasury</w:t>
      </w:r>
      <w:r w:rsidR="005E1A3B" w:rsidRPr="00D80012">
        <w:rPr>
          <w:rFonts w:ascii="Arial" w:eastAsia="Times New Roman" w:hAnsi="Arial" w:cs="Arial"/>
          <w:sz w:val="24"/>
          <w:szCs w:val="24"/>
          <w:lang w:val="en-GB" w:eastAsia="en-GB"/>
        </w:rPr>
        <w:t xml:space="preserve"> with the  introduction of PF2) </w:t>
      </w:r>
      <w:r w:rsidR="008124B9" w:rsidRPr="00D80012">
        <w:rPr>
          <w:rFonts w:ascii="Arial" w:eastAsia="Times New Roman" w:hAnsi="Arial" w:cs="Arial"/>
          <w:sz w:val="24"/>
          <w:szCs w:val="24"/>
          <w:lang w:val="en-GB" w:eastAsia="en-GB"/>
        </w:rPr>
        <w:t xml:space="preserve"> advantaged </w:t>
      </w:r>
      <w:r w:rsidR="00A00C87" w:rsidRPr="00D80012">
        <w:rPr>
          <w:rFonts w:ascii="Arial" w:eastAsia="Times New Roman" w:hAnsi="Arial" w:cs="Arial"/>
          <w:sz w:val="24"/>
          <w:szCs w:val="24"/>
          <w:lang w:val="en-GB" w:eastAsia="en-GB"/>
        </w:rPr>
        <w:t xml:space="preserve">PFI over public procurement, </w:t>
      </w:r>
      <w:r w:rsidR="002A445E">
        <w:rPr>
          <w:rFonts w:ascii="Arial" w:eastAsia="Times New Roman" w:hAnsi="Arial" w:cs="Arial"/>
          <w:sz w:val="24"/>
          <w:szCs w:val="24"/>
          <w:lang w:val="en-GB" w:eastAsia="en-GB"/>
        </w:rPr>
        <w:t xml:space="preserve"> pointing out </w:t>
      </w:r>
      <w:r w:rsidR="0004747F" w:rsidRPr="00D80012">
        <w:rPr>
          <w:rFonts w:ascii="Arial" w:eastAsia="Times New Roman" w:hAnsi="Arial" w:cs="Arial"/>
          <w:sz w:val="24"/>
          <w:szCs w:val="24"/>
          <w:lang w:val="en-GB" w:eastAsia="en-GB"/>
        </w:rPr>
        <w:t xml:space="preserve">that </w:t>
      </w:r>
      <w:r w:rsidR="007134AC" w:rsidRPr="00D80012">
        <w:rPr>
          <w:rFonts w:ascii="Arial" w:eastAsia="Times New Roman" w:hAnsi="Arial" w:cs="Arial"/>
          <w:sz w:val="24"/>
          <w:szCs w:val="24"/>
          <w:lang w:val="en-GB" w:eastAsia="en-GB"/>
        </w:rPr>
        <w:t>it involved an in-built  ‘incentive to show that private finance  (would) offe</w:t>
      </w:r>
      <w:r w:rsidR="00E3117B" w:rsidRPr="00D80012">
        <w:rPr>
          <w:rFonts w:ascii="Arial" w:eastAsia="Times New Roman" w:hAnsi="Arial" w:cs="Arial"/>
          <w:sz w:val="24"/>
          <w:szCs w:val="24"/>
          <w:lang w:val="en-GB" w:eastAsia="en-GB"/>
        </w:rPr>
        <w:t>r</w:t>
      </w:r>
      <w:r w:rsidR="007134AC" w:rsidRPr="00D80012">
        <w:rPr>
          <w:rFonts w:ascii="Arial" w:eastAsia="Times New Roman" w:hAnsi="Arial" w:cs="Arial"/>
          <w:sz w:val="24"/>
          <w:szCs w:val="24"/>
          <w:lang w:val="en-GB" w:eastAsia="en-GB"/>
        </w:rPr>
        <w:t xml:space="preserve"> better value for money than the PSC</w:t>
      </w:r>
      <w:r w:rsidR="00E3117B" w:rsidRPr="00D80012">
        <w:rPr>
          <w:rFonts w:ascii="Arial" w:eastAsia="Times New Roman" w:hAnsi="Arial" w:cs="Arial"/>
          <w:sz w:val="24"/>
          <w:szCs w:val="24"/>
          <w:lang w:val="en-GB" w:eastAsia="en-GB"/>
        </w:rPr>
        <w:t>,</w:t>
      </w:r>
      <w:r w:rsidR="007134AC" w:rsidRPr="00D80012">
        <w:rPr>
          <w:rFonts w:ascii="Arial" w:eastAsia="Times New Roman" w:hAnsi="Arial" w:cs="Arial"/>
          <w:sz w:val="24"/>
          <w:szCs w:val="24"/>
          <w:lang w:val="en-GB" w:eastAsia="en-GB"/>
        </w:rPr>
        <w:t xml:space="preserve"> as unless alternative capital funding is made available the project </w:t>
      </w:r>
      <w:r w:rsidR="00AD4475" w:rsidRPr="00D80012">
        <w:rPr>
          <w:rFonts w:ascii="Arial" w:eastAsia="Times New Roman" w:hAnsi="Arial" w:cs="Arial"/>
          <w:sz w:val="24"/>
          <w:szCs w:val="24"/>
          <w:lang w:val="en-GB" w:eastAsia="en-GB"/>
        </w:rPr>
        <w:t>(</w:t>
      </w:r>
      <w:r w:rsidR="00E3117B" w:rsidRPr="00D80012">
        <w:rPr>
          <w:rFonts w:ascii="Arial" w:eastAsia="Times New Roman" w:hAnsi="Arial" w:cs="Arial"/>
          <w:sz w:val="24"/>
          <w:szCs w:val="24"/>
          <w:lang w:val="en-GB" w:eastAsia="en-GB"/>
        </w:rPr>
        <w:t>would</w:t>
      </w:r>
      <w:r w:rsidR="00AD4475" w:rsidRPr="00D80012">
        <w:rPr>
          <w:rFonts w:ascii="Arial" w:eastAsia="Times New Roman" w:hAnsi="Arial" w:cs="Arial"/>
          <w:sz w:val="24"/>
          <w:szCs w:val="24"/>
          <w:lang w:val="en-GB" w:eastAsia="en-GB"/>
        </w:rPr>
        <w:t>)</w:t>
      </w:r>
      <w:r w:rsidR="007134AC" w:rsidRPr="00D80012">
        <w:rPr>
          <w:rFonts w:ascii="Arial" w:eastAsia="Times New Roman" w:hAnsi="Arial" w:cs="Arial"/>
          <w:sz w:val="24"/>
          <w:szCs w:val="24"/>
          <w:lang w:val="en-GB" w:eastAsia="en-GB"/>
        </w:rPr>
        <w:t xml:space="preserve"> unlikely to proceed</w:t>
      </w:r>
      <w:r w:rsidR="009232CD" w:rsidRPr="00D80012">
        <w:rPr>
          <w:rFonts w:ascii="Arial" w:eastAsia="Times New Roman" w:hAnsi="Arial" w:cs="Arial"/>
          <w:sz w:val="24"/>
          <w:szCs w:val="24"/>
          <w:lang w:val="en-GB" w:eastAsia="en-GB"/>
        </w:rPr>
        <w:t>’.</w:t>
      </w:r>
      <w:r w:rsidR="007134AC" w:rsidRPr="00D80012">
        <w:rPr>
          <w:rFonts w:ascii="Arial" w:eastAsia="Times New Roman" w:hAnsi="Arial" w:cs="Arial"/>
          <w:sz w:val="24"/>
          <w:szCs w:val="24"/>
          <w:lang w:val="en-GB" w:eastAsia="en-GB"/>
        </w:rPr>
        <w:t xml:space="preserve"> </w:t>
      </w:r>
    </w:p>
    <w:p w14:paraId="037BB5B8" w14:textId="3BF716E8" w:rsidR="00E309A8" w:rsidRDefault="00E309A8" w:rsidP="00984D94">
      <w:pPr>
        <w:spacing w:after="0" w:line="240" w:lineRule="auto"/>
        <w:rPr>
          <w:rFonts w:ascii="Arial" w:eastAsia="Times New Roman" w:hAnsi="Arial" w:cs="Arial"/>
          <w:sz w:val="24"/>
          <w:szCs w:val="24"/>
          <w:lang w:val="en-GB" w:eastAsia="en-GB"/>
        </w:rPr>
      </w:pPr>
    </w:p>
    <w:p w14:paraId="552BF1C4" w14:textId="21420D62" w:rsidR="0075586A" w:rsidRDefault="00E309A8"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PFI</w:t>
      </w:r>
      <w:r>
        <w:rPr>
          <w:rFonts w:ascii="Arial" w:eastAsia="Times New Roman" w:hAnsi="Arial" w:cs="Arial"/>
          <w:sz w:val="24"/>
          <w:szCs w:val="24"/>
          <w:lang w:val="en-GB" w:eastAsia="en-GB"/>
        </w:rPr>
        <w:t xml:space="preserve"> at the time provided</w:t>
      </w:r>
      <w:r w:rsidRPr="00D80012">
        <w:rPr>
          <w:rFonts w:ascii="Arial" w:eastAsia="Times New Roman" w:hAnsi="Arial" w:cs="Arial"/>
          <w:sz w:val="24"/>
          <w:szCs w:val="24"/>
          <w:lang w:val="en-GB" w:eastAsia="en-GB"/>
        </w:rPr>
        <w:t xml:space="preserve"> the only </w:t>
      </w:r>
      <w:r>
        <w:rPr>
          <w:rFonts w:ascii="Arial" w:eastAsia="Times New Roman" w:hAnsi="Arial" w:cs="Arial"/>
          <w:sz w:val="24"/>
          <w:szCs w:val="24"/>
          <w:lang w:val="en-GB" w:eastAsia="en-GB"/>
        </w:rPr>
        <w:t xml:space="preserve">financing </w:t>
      </w:r>
      <w:r w:rsidRPr="00D80012">
        <w:rPr>
          <w:rFonts w:ascii="Arial" w:eastAsia="Times New Roman" w:hAnsi="Arial" w:cs="Arial"/>
          <w:sz w:val="24"/>
          <w:szCs w:val="24"/>
          <w:lang w:val="en-GB" w:eastAsia="en-GB"/>
        </w:rPr>
        <w:t>option for some</w:t>
      </w:r>
      <w:r>
        <w:rPr>
          <w:rFonts w:ascii="Arial" w:eastAsia="Times New Roman" w:hAnsi="Arial" w:cs="Arial"/>
          <w:sz w:val="24"/>
          <w:szCs w:val="24"/>
          <w:lang w:val="en-GB" w:eastAsia="en-GB"/>
        </w:rPr>
        <w:t xml:space="preserve"> public</w:t>
      </w:r>
      <w:r w:rsidRPr="00D80012">
        <w:rPr>
          <w:rFonts w:ascii="Arial" w:eastAsia="Times New Roman" w:hAnsi="Arial" w:cs="Arial"/>
          <w:sz w:val="24"/>
          <w:szCs w:val="24"/>
          <w:lang w:val="en-GB" w:eastAsia="en-GB"/>
        </w:rPr>
        <w:t xml:space="preserve"> capital investment projects</w:t>
      </w:r>
      <w:r w:rsidR="00B33AAF">
        <w:rPr>
          <w:rFonts w:ascii="Arial" w:eastAsia="Times New Roman" w:hAnsi="Arial" w:cs="Arial"/>
          <w:sz w:val="24"/>
          <w:szCs w:val="24"/>
          <w:lang w:val="en-GB" w:eastAsia="en-GB"/>
        </w:rPr>
        <w:t>, rendering the p</w:t>
      </w:r>
      <w:r w:rsidR="0090400D">
        <w:rPr>
          <w:rFonts w:ascii="Arial" w:eastAsia="Times New Roman" w:hAnsi="Arial" w:cs="Arial"/>
          <w:sz w:val="24"/>
          <w:szCs w:val="24"/>
          <w:lang w:val="en-GB" w:eastAsia="en-GB"/>
        </w:rPr>
        <w:t>rospect</w:t>
      </w:r>
      <w:r w:rsidR="00B33AAF">
        <w:rPr>
          <w:rFonts w:ascii="Arial" w:eastAsia="Times New Roman" w:hAnsi="Arial" w:cs="Arial"/>
          <w:sz w:val="24"/>
          <w:szCs w:val="24"/>
          <w:lang w:val="en-GB" w:eastAsia="en-GB"/>
        </w:rPr>
        <w:t xml:space="preserve"> </w:t>
      </w:r>
      <w:r w:rsidR="0090400D">
        <w:rPr>
          <w:rFonts w:ascii="Arial" w:eastAsia="Times New Roman" w:hAnsi="Arial" w:cs="Arial"/>
          <w:sz w:val="24"/>
          <w:szCs w:val="24"/>
          <w:lang w:val="en-GB" w:eastAsia="en-GB"/>
        </w:rPr>
        <w:t>of it proving more expensive</w:t>
      </w:r>
      <w:r w:rsidR="00B33AAF">
        <w:rPr>
          <w:rFonts w:ascii="Arial" w:eastAsia="Times New Roman" w:hAnsi="Arial" w:cs="Arial"/>
          <w:sz w:val="24"/>
          <w:szCs w:val="24"/>
          <w:lang w:val="en-GB" w:eastAsia="en-GB"/>
        </w:rPr>
        <w:t xml:space="preserve"> over time (whole-project-life)</w:t>
      </w:r>
      <w:r w:rsidR="006710B5">
        <w:rPr>
          <w:rFonts w:ascii="Arial" w:eastAsia="Times New Roman" w:hAnsi="Arial" w:cs="Arial"/>
          <w:sz w:val="24"/>
          <w:szCs w:val="24"/>
          <w:lang w:val="en-GB" w:eastAsia="en-GB"/>
        </w:rPr>
        <w:t>,</w:t>
      </w:r>
      <w:r w:rsidR="00B33AAF">
        <w:rPr>
          <w:rFonts w:ascii="Arial" w:eastAsia="Times New Roman" w:hAnsi="Arial" w:cs="Arial"/>
          <w:sz w:val="24"/>
          <w:szCs w:val="24"/>
          <w:lang w:val="en-GB" w:eastAsia="en-GB"/>
        </w:rPr>
        <w:t xml:space="preserve"> </w:t>
      </w:r>
      <w:r w:rsidR="006E0733">
        <w:rPr>
          <w:rFonts w:ascii="Arial" w:eastAsia="Times New Roman" w:hAnsi="Arial" w:cs="Arial"/>
          <w:sz w:val="24"/>
          <w:szCs w:val="24"/>
          <w:lang w:val="en-GB" w:eastAsia="en-GB"/>
        </w:rPr>
        <w:t xml:space="preserve">less </w:t>
      </w:r>
      <w:r w:rsidR="00664D84">
        <w:rPr>
          <w:rFonts w:ascii="Arial" w:eastAsia="Times New Roman" w:hAnsi="Arial" w:cs="Arial"/>
          <w:sz w:val="24"/>
          <w:szCs w:val="24"/>
          <w:lang w:val="en-GB" w:eastAsia="en-GB"/>
        </w:rPr>
        <w:t>or non-</w:t>
      </w:r>
      <w:r w:rsidR="006E0733">
        <w:rPr>
          <w:rFonts w:ascii="Arial" w:eastAsia="Times New Roman" w:hAnsi="Arial" w:cs="Arial"/>
          <w:sz w:val="24"/>
          <w:szCs w:val="24"/>
          <w:lang w:val="en-GB" w:eastAsia="en-GB"/>
        </w:rPr>
        <w:t xml:space="preserve">relevant to the commissioning department/council.  </w:t>
      </w:r>
      <w:r w:rsidR="0090400D">
        <w:rPr>
          <w:rFonts w:ascii="Arial" w:eastAsia="Times New Roman" w:hAnsi="Arial" w:cs="Arial"/>
          <w:sz w:val="24"/>
          <w:szCs w:val="24"/>
          <w:lang w:val="en-GB" w:eastAsia="en-GB"/>
        </w:rPr>
        <w:t xml:space="preserve"> </w:t>
      </w:r>
    </w:p>
    <w:p w14:paraId="0B941966" w14:textId="77777777" w:rsidR="00E309A8" w:rsidRPr="00D80012" w:rsidRDefault="00E309A8" w:rsidP="00984D94">
      <w:pPr>
        <w:spacing w:after="0" w:line="240" w:lineRule="auto"/>
        <w:rPr>
          <w:rFonts w:ascii="Arial" w:eastAsia="Times New Roman" w:hAnsi="Arial" w:cs="Arial"/>
          <w:sz w:val="24"/>
          <w:szCs w:val="24"/>
          <w:lang w:val="en-GB" w:eastAsia="en-GB"/>
        </w:rPr>
      </w:pPr>
    </w:p>
    <w:p w14:paraId="7B6DFBF6" w14:textId="7E083D7E" w:rsidR="00984D94" w:rsidRPr="00D80012" w:rsidRDefault="00984D9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Unforeseen additional costs resulting from contractual and other changes, such as termination costs</w:t>
      </w:r>
      <w:r w:rsidR="00664D84">
        <w:rPr>
          <w:rFonts w:ascii="Arial" w:eastAsia="Times New Roman" w:hAnsi="Arial" w:cs="Arial"/>
          <w:sz w:val="24"/>
          <w:szCs w:val="24"/>
          <w:lang w:val="en-GB" w:eastAsia="en-GB"/>
        </w:rPr>
        <w:t>,</w:t>
      </w:r>
      <w:r w:rsidRPr="00D80012">
        <w:rPr>
          <w:rFonts w:ascii="Arial" w:eastAsia="Times New Roman" w:hAnsi="Arial" w:cs="Arial"/>
          <w:sz w:val="24"/>
          <w:szCs w:val="24"/>
          <w:lang w:val="en-GB" w:eastAsia="en-GB"/>
        </w:rPr>
        <w:t xml:space="preserve"> were </w:t>
      </w:r>
      <w:r w:rsidR="006710B5">
        <w:rPr>
          <w:rFonts w:ascii="Arial" w:eastAsia="Times New Roman" w:hAnsi="Arial" w:cs="Arial"/>
          <w:sz w:val="24"/>
          <w:szCs w:val="24"/>
          <w:lang w:val="en-GB" w:eastAsia="en-GB"/>
        </w:rPr>
        <w:t xml:space="preserve">also </w:t>
      </w:r>
      <w:r w:rsidRPr="00D80012">
        <w:rPr>
          <w:rFonts w:ascii="Arial" w:eastAsia="Times New Roman" w:hAnsi="Arial" w:cs="Arial"/>
          <w:sz w:val="24"/>
          <w:szCs w:val="24"/>
          <w:lang w:val="en-GB" w:eastAsia="en-GB"/>
        </w:rPr>
        <w:t xml:space="preserve">not be factored into the original appraisal process.  </w:t>
      </w:r>
    </w:p>
    <w:p w14:paraId="456814E3" w14:textId="77777777" w:rsidR="00984D94" w:rsidRPr="00D80012" w:rsidRDefault="00984D94" w:rsidP="00984D94">
      <w:pPr>
        <w:spacing w:after="0" w:line="240" w:lineRule="auto"/>
        <w:rPr>
          <w:rFonts w:ascii="Arial" w:eastAsia="Times New Roman" w:hAnsi="Arial" w:cs="Arial"/>
          <w:sz w:val="24"/>
          <w:szCs w:val="24"/>
          <w:lang w:val="en-GB" w:eastAsia="en-GB"/>
        </w:rPr>
      </w:pPr>
    </w:p>
    <w:p w14:paraId="7A0124BD" w14:textId="7CCCE204" w:rsidR="00984D94" w:rsidRPr="00D80012" w:rsidRDefault="00CD729F"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F</w:t>
      </w:r>
      <w:r w:rsidR="00984D94" w:rsidRPr="00D80012">
        <w:rPr>
          <w:rFonts w:ascii="Arial" w:eastAsia="Times New Roman" w:hAnsi="Arial" w:cs="Arial"/>
          <w:sz w:val="24"/>
          <w:szCs w:val="24"/>
          <w:lang w:val="en-GB" w:eastAsia="en-GB"/>
        </w:rPr>
        <w:t xml:space="preserve">or all </w:t>
      </w:r>
      <w:r w:rsidRPr="00D80012">
        <w:rPr>
          <w:rFonts w:ascii="Arial" w:eastAsia="Times New Roman" w:hAnsi="Arial" w:cs="Arial"/>
          <w:sz w:val="24"/>
          <w:szCs w:val="24"/>
          <w:lang w:val="en-GB" w:eastAsia="en-GB"/>
        </w:rPr>
        <w:t xml:space="preserve">those, </w:t>
      </w:r>
      <w:r w:rsidR="00984D94" w:rsidRPr="00D80012">
        <w:rPr>
          <w:rFonts w:ascii="Arial" w:eastAsia="Times New Roman" w:hAnsi="Arial" w:cs="Arial"/>
          <w:sz w:val="24"/>
          <w:szCs w:val="24"/>
          <w:lang w:val="en-GB" w:eastAsia="en-GB"/>
        </w:rPr>
        <w:t xml:space="preserve">and for other reasons, it was always going to </w:t>
      </w:r>
      <w:r w:rsidR="000E6E09">
        <w:rPr>
          <w:rFonts w:ascii="Arial" w:eastAsia="Times New Roman" w:hAnsi="Arial" w:cs="Arial"/>
          <w:sz w:val="24"/>
          <w:szCs w:val="24"/>
          <w:lang w:val="en-GB" w:eastAsia="en-GB"/>
        </w:rPr>
        <w:t xml:space="preserve">prove </w:t>
      </w:r>
      <w:r w:rsidR="00984D94" w:rsidRPr="00D80012">
        <w:rPr>
          <w:rFonts w:ascii="Arial" w:eastAsia="Times New Roman" w:hAnsi="Arial" w:cs="Arial"/>
          <w:sz w:val="24"/>
          <w:szCs w:val="24"/>
          <w:lang w:val="en-GB" w:eastAsia="en-GB"/>
        </w:rPr>
        <w:t xml:space="preserve">devilishly difficult, if not impossible, to accurately compare or quantify precisely the relative ultimate and long-term value-for-money (vfm) of conventional and PFI procurement over a 30 year or similar </w:t>
      </w:r>
      <w:r w:rsidR="00FD64E2">
        <w:rPr>
          <w:rFonts w:ascii="Arial" w:eastAsia="Times New Roman" w:hAnsi="Arial" w:cs="Arial"/>
          <w:sz w:val="24"/>
          <w:szCs w:val="24"/>
          <w:lang w:val="en-GB" w:eastAsia="en-GB"/>
        </w:rPr>
        <w:t xml:space="preserve">duration </w:t>
      </w:r>
      <w:r w:rsidR="00984D94" w:rsidRPr="00D80012">
        <w:rPr>
          <w:rFonts w:ascii="Arial" w:eastAsia="Times New Roman" w:hAnsi="Arial" w:cs="Arial"/>
          <w:sz w:val="24"/>
          <w:szCs w:val="24"/>
          <w:lang w:val="en-GB" w:eastAsia="en-GB"/>
        </w:rPr>
        <w:t>contract.</w:t>
      </w:r>
    </w:p>
    <w:p w14:paraId="6E3EC154" w14:textId="788BACF9" w:rsidR="00FF184B" w:rsidRPr="00D80012" w:rsidRDefault="00FF184B" w:rsidP="00984D94">
      <w:pPr>
        <w:spacing w:after="0" w:line="240" w:lineRule="auto"/>
        <w:rPr>
          <w:rFonts w:ascii="Arial" w:eastAsia="Times New Roman" w:hAnsi="Arial" w:cs="Arial"/>
          <w:sz w:val="24"/>
          <w:szCs w:val="24"/>
          <w:lang w:val="en-GB" w:eastAsia="en-GB"/>
        </w:rPr>
      </w:pPr>
    </w:p>
    <w:p w14:paraId="08BD2622" w14:textId="443F96CB" w:rsidR="00FF184B" w:rsidRPr="00D80012" w:rsidRDefault="00FF184B" w:rsidP="00FF184B">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There was no real way at contract initiation stage to know whether expected and assumed efficiency gains secured from private provision and operation would </w:t>
      </w:r>
      <w:r w:rsidR="006710B5">
        <w:rPr>
          <w:rFonts w:ascii="Arial" w:eastAsia="Times New Roman" w:hAnsi="Arial" w:cs="Arial"/>
          <w:sz w:val="24"/>
          <w:szCs w:val="24"/>
          <w:lang w:val="en-GB" w:eastAsia="en-GB"/>
        </w:rPr>
        <w:t xml:space="preserve">in practice </w:t>
      </w:r>
      <w:r w:rsidRPr="00D80012">
        <w:rPr>
          <w:rFonts w:ascii="Arial" w:eastAsia="Times New Roman" w:hAnsi="Arial" w:cs="Arial"/>
          <w:sz w:val="24"/>
          <w:szCs w:val="24"/>
          <w:lang w:val="en-GB" w:eastAsia="en-GB"/>
        </w:rPr>
        <w:t xml:space="preserve">be realised over the contract term, </w:t>
      </w:r>
      <w:r w:rsidR="00CB47A3">
        <w:rPr>
          <w:rFonts w:ascii="Arial" w:eastAsia="Times New Roman" w:hAnsi="Arial" w:cs="Arial"/>
          <w:sz w:val="24"/>
          <w:szCs w:val="24"/>
          <w:lang w:val="en-GB" w:eastAsia="en-GB"/>
        </w:rPr>
        <w:t xml:space="preserve">whether </w:t>
      </w:r>
      <w:r w:rsidRPr="00D80012">
        <w:rPr>
          <w:rFonts w:ascii="Arial" w:eastAsia="Times New Roman" w:hAnsi="Arial" w:cs="Arial"/>
          <w:sz w:val="24"/>
          <w:szCs w:val="24"/>
          <w:lang w:val="en-GB" w:eastAsia="en-GB"/>
        </w:rPr>
        <w:t xml:space="preserve">in quantum and timing profile. </w:t>
      </w:r>
    </w:p>
    <w:p w14:paraId="5B6C95B4" w14:textId="77777777" w:rsidR="00FF184B" w:rsidRPr="00D80012" w:rsidRDefault="00FF184B" w:rsidP="00FF184B">
      <w:pPr>
        <w:spacing w:after="0" w:line="240" w:lineRule="auto"/>
        <w:rPr>
          <w:rFonts w:ascii="Arial" w:eastAsia="Times New Roman" w:hAnsi="Arial" w:cs="Arial"/>
          <w:sz w:val="24"/>
          <w:szCs w:val="24"/>
          <w:lang w:val="en-GB" w:eastAsia="en-GB"/>
        </w:rPr>
      </w:pPr>
    </w:p>
    <w:p w14:paraId="16BF8186" w14:textId="7629AC84" w:rsidR="00984D94" w:rsidRPr="00D80012" w:rsidRDefault="00984D9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Some honesty on that point from the start </w:t>
      </w:r>
      <w:r w:rsidR="00525E54" w:rsidRPr="00D80012">
        <w:rPr>
          <w:rFonts w:ascii="Arial" w:eastAsia="Times New Roman" w:hAnsi="Arial" w:cs="Arial"/>
          <w:sz w:val="24"/>
          <w:szCs w:val="24"/>
          <w:lang w:val="en-GB" w:eastAsia="en-GB"/>
        </w:rPr>
        <w:t>c</w:t>
      </w:r>
      <w:r w:rsidRPr="00D80012">
        <w:rPr>
          <w:rFonts w:ascii="Arial" w:eastAsia="Times New Roman" w:hAnsi="Arial" w:cs="Arial"/>
          <w:sz w:val="24"/>
          <w:szCs w:val="24"/>
          <w:lang w:val="en-GB" w:eastAsia="en-GB"/>
        </w:rPr>
        <w:t xml:space="preserve">ould have saved the false start that PFI proved to be with its associated substantial financial and service delivery costs.  </w:t>
      </w:r>
    </w:p>
    <w:p w14:paraId="4BD8B976" w14:textId="77777777" w:rsidR="00984D94" w:rsidRPr="00D80012" w:rsidRDefault="00984D94" w:rsidP="00984D94">
      <w:pPr>
        <w:spacing w:after="0" w:line="240" w:lineRule="auto"/>
        <w:rPr>
          <w:rFonts w:ascii="Arial" w:eastAsia="Times New Roman" w:hAnsi="Arial" w:cs="Arial"/>
          <w:sz w:val="24"/>
          <w:szCs w:val="24"/>
          <w:lang w:val="en-GB" w:eastAsia="en-GB"/>
        </w:rPr>
      </w:pPr>
    </w:p>
    <w:p w14:paraId="544FBE28" w14:textId="77777777" w:rsidR="00984D94" w:rsidRPr="00D80012" w:rsidRDefault="00984D9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A ‘chicken and egg’ problem in securing potential efficiencies from the PFI route was also not often frankly recognised: a mature market characterised by many prospective private participating partners was envisioned.</w:t>
      </w:r>
    </w:p>
    <w:p w14:paraId="123ED9A7" w14:textId="77777777" w:rsidR="00984D94" w:rsidRPr="00D80012" w:rsidRDefault="00984D94" w:rsidP="00984D94">
      <w:pPr>
        <w:spacing w:after="0" w:line="240" w:lineRule="auto"/>
        <w:rPr>
          <w:rFonts w:ascii="Arial" w:eastAsia="Times New Roman" w:hAnsi="Arial" w:cs="Arial"/>
          <w:sz w:val="24"/>
          <w:szCs w:val="24"/>
          <w:lang w:val="en-GB" w:eastAsia="en-GB"/>
        </w:rPr>
      </w:pPr>
    </w:p>
    <w:p w14:paraId="10309C56" w14:textId="07B002F2" w:rsidR="00984D94" w:rsidRPr="00D80012" w:rsidRDefault="00984D94" w:rsidP="00984D94">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But the development of such a </w:t>
      </w:r>
      <w:r w:rsidR="000C0E37" w:rsidRPr="00D80012">
        <w:rPr>
          <w:rFonts w:ascii="Arial" w:eastAsia="Times New Roman" w:hAnsi="Arial" w:cs="Arial"/>
          <w:sz w:val="24"/>
          <w:szCs w:val="24"/>
          <w:lang w:val="en-GB" w:eastAsia="en-GB"/>
        </w:rPr>
        <w:t xml:space="preserve">mature </w:t>
      </w:r>
      <w:r w:rsidRPr="00D80012">
        <w:rPr>
          <w:rFonts w:ascii="Arial" w:eastAsia="Times New Roman" w:hAnsi="Arial" w:cs="Arial"/>
          <w:sz w:val="24"/>
          <w:szCs w:val="24"/>
          <w:lang w:val="en-GB" w:eastAsia="en-GB"/>
        </w:rPr>
        <w:t xml:space="preserve">market </w:t>
      </w:r>
      <w:r w:rsidR="00CB4583">
        <w:rPr>
          <w:rFonts w:ascii="Arial" w:eastAsia="Times New Roman" w:hAnsi="Arial" w:cs="Arial"/>
          <w:sz w:val="24"/>
          <w:szCs w:val="24"/>
          <w:lang w:val="en-GB" w:eastAsia="en-GB"/>
        </w:rPr>
        <w:t xml:space="preserve">presupposed </w:t>
      </w:r>
      <w:r w:rsidRPr="00D80012">
        <w:rPr>
          <w:rFonts w:ascii="Arial" w:eastAsia="Times New Roman" w:hAnsi="Arial" w:cs="Arial"/>
          <w:sz w:val="24"/>
          <w:szCs w:val="24"/>
          <w:lang w:val="en-GB" w:eastAsia="en-GB"/>
        </w:rPr>
        <w:t xml:space="preserve">the prospect of future </w:t>
      </w:r>
      <w:r w:rsidR="00B81E1A">
        <w:rPr>
          <w:rFonts w:ascii="Arial" w:eastAsia="Times New Roman" w:hAnsi="Arial" w:cs="Arial"/>
          <w:sz w:val="24"/>
          <w:szCs w:val="24"/>
          <w:lang w:val="en-GB" w:eastAsia="en-GB"/>
        </w:rPr>
        <w:t xml:space="preserve">realisable </w:t>
      </w:r>
      <w:r w:rsidRPr="00D80012">
        <w:rPr>
          <w:rFonts w:ascii="Arial" w:eastAsia="Times New Roman" w:hAnsi="Arial" w:cs="Arial"/>
          <w:sz w:val="24"/>
          <w:szCs w:val="24"/>
          <w:lang w:val="en-GB" w:eastAsia="en-GB"/>
        </w:rPr>
        <w:t xml:space="preserve">returns </w:t>
      </w:r>
      <w:r w:rsidR="008C69D5">
        <w:rPr>
          <w:rFonts w:ascii="Arial" w:eastAsia="Times New Roman" w:hAnsi="Arial" w:cs="Arial"/>
          <w:sz w:val="24"/>
          <w:szCs w:val="24"/>
          <w:lang w:val="en-GB" w:eastAsia="en-GB"/>
        </w:rPr>
        <w:t>i</w:t>
      </w:r>
      <w:r w:rsidRPr="00D80012">
        <w:rPr>
          <w:rFonts w:ascii="Arial" w:eastAsia="Times New Roman" w:hAnsi="Arial" w:cs="Arial"/>
          <w:sz w:val="24"/>
          <w:szCs w:val="24"/>
          <w:lang w:val="en-GB" w:eastAsia="en-GB"/>
        </w:rPr>
        <w:t xml:space="preserve">n scale </w:t>
      </w:r>
      <w:r w:rsidR="00E14D0C">
        <w:rPr>
          <w:rFonts w:ascii="Arial" w:eastAsia="Times New Roman" w:hAnsi="Arial" w:cs="Arial"/>
          <w:sz w:val="24"/>
          <w:szCs w:val="24"/>
          <w:lang w:val="en-GB" w:eastAsia="en-GB"/>
        </w:rPr>
        <w:t xml:space="preserve">to be </w:t>
      </w:r>
      <w:r w:rsidR="00B7764A" w:rsidRPr="00D80012">
        <w:rPr>
          <w:rFonts w:ascii="Arial" w:eastAsia="Times New Roman" w:hAnsi="Arial" w:cs="Arial"/>
          <w:sz w:val="24"/>
          <w:szCs w:val="24"/>
          <w:lang w:val="en-GB" w:eastAsia="en-GB"/>
        </w:rPr>
        <w:t xml:space="preserve">sufficient </w:t>
      </w:r>
      <w:r w:rsidRPr="00D80012">
        <w:rPr>
          <w:rFonts w:ascii="Arial" w:eastAsia="Times New Roman" w:hAnsi="Arial" w:cs="Arial"/>
          <w:sz w:val="24"/>
          <w:szCs w:val="24"/>
          <w:lang w:val="en-GB" w:eastAsia="en-GB"/>
        </w:rPr>
        <w:t>in practice</w:t>
      </w:r>
      <w:r w:rsidR="00A67422">
        <w:rPr>
          <w:rFonts w:ascii="Arial" w:eastAsia="Times New Roman" w:hAnsi="Arial" w:cs="Arial"/>
          <w:sz w:val="24"/>
          <w:szCs w:val="24"/>
          <w:lang w:val="en-GB" w:eastAsia="en-GB"/>
        </w:rPr>
        <w:t xml:space="preserve"> </w:t>
      </w:r>
      <w:r w:rsidRPr="00D80012">
        <w:rPr>
          <w:rFonts w:ascii="Arial" w:eastAsia="Times New Roman" w:hAnsi="Arial" w:cs="Arial"/>
          <w:sz w:val="24"/>
          <w:szCs w:val="24"/>
          <w:lang w:val="en-GB" w:eastAsia="en-GB"/>
        </w:rPr>
        <w:t>to attract enough market players to enter and contest the market</w:t>
      </w:r>
      <w:r w:rsidR="00B81E1A">
        <w:rPr>
          <w:rFonts w:ascii="Arial" w:eastAsia="Times New Roman" w:hAnsi="Arial" w:cs="Arial"/>
          <w:sz w:val="24"/>
          <w:szCs w:val="24"/>
          <w:lang w:val="en-GB" w:eastAsia="en-GB"/>
        </w:rPr>
        <w:t>,</w:t>
      </w:r>
      <w:r w:rsidRPr="00D80012">
        <w:rPr>
          <w:rFonts w:ascii="Arial" w:eastAsia="Times New Roman" w:hAnsi="Arial" w:cs="Arial"/>
          <w:sz w:val="24"/>
          <w:szCs w:val="24"/>
          <w:lang w:val="en-GB" w:eastAsia="en-GB"/>
        </w:rPr>
        <w:t xml:space="preserve"> and </w:t>
      </w:r>
      <w:r w:rsidR="00B81E1A">
        <w:rPr>
          <w:rFonts w:ascii="Arial" w:eastAsia="Times New Roman" w:hAnsi="Arial" w:cs="Arial"/>
          <w:sz w:val="24"/>
          <w:szCs w:val="24"/>
          <w:lang w:val="en-GB" w:eastAsia="en-GB"/>
        </w:rPr>
        <w:t xml:space="preserve">then to </w:t>
      </w:r>
      <w:r w:rsidRPr="00D80012">
        <w:rPr>
          <w:rFonts w:ascii="Arial" w:eastAsia="Times New Roman" w:hAnsi="Arial" w:cs="Arial"/>
          <w:sz w:val="24"/>
          <w:szCs w:val="24"/>
          <w:lang w:val="en-GB" w:eastAsia="en-GB"/>
        </w:rPr>
        <w:t xml:space="preserve">make it competitive on a sustainable basis. </w:t>
      </w:r>
    </w:p>
    <w:p w14:paraId="33EA395A" w14:textId="77777777" w:rsidR="00984D94" w:rsidRPr="00D80012" w:rsidRDefault="00984D94" w:rsidP="00984D94">
      <w:pPr>
        <w:spacing w:after="0" w:line="240" w:lineRule="auto"/>
        <w:rPr>
          <w:rFonts w:ascii="Arial" w:eastAsia="Times New Roman" w:hAnsi="Arial" w:cs="Arial"/>
          <w:sz w:val="24"/>
          <w:szCs w:val="24"/>
          <w:lang w:val="en-GB" w:eastAsia="en-GB"/>
        </w:rPr>
      </w:pPr>
    </w:p>
    <w:p w14:paraId="3BA70EAF" w14:textId="69627533" w:rsidR="00984D94" w:rsidRDefault="00984D94" w:rsidP="00984D94">
      <w:pPr>
        <w:spacing w:after="0" w:line="240" w:lineRule="auto"/>
        <w:rPr>
          <w:rFonts w:ascii="Arial" w:eastAsia="Times New Roman" w:hAnsi="Arial" w:cs="Arial"/>
          <w:sz w:val="24"/>
          <w:szCs w:val="24"/>
          <w:lang w:val="en-GB" w:eastAsia="en-GB"/>
        </w:rPr>
      </w:pPr>
      <w:r w:rsidRPr="00854047">
        <w:rPr>
          <w:rFonts w:ascii="Arial" w:eastAsia="Times New Roman" w:hAnsi="Arial" w:cs="Arial"/>
          <w:sz w:val="24"/>
          <w:szCs w:val="24"/>
          <w:lang w:val="en-GB" w:eastAsia="en-GB"/>
        </w:rPr>
        <w:t xml:space="preserve">Participation in a less than mature market </w:t>
      </w:r>
      <w:r>
        <w:rPr>
          <w:rFonts w:ascii="Arial" w:eastAsia="Times New Roman" w:hAnsi="Arial" w:cs="Arial"/>
          <w:sz w:val="24"/>
          <w:szCs w:val="24"/>
          <w:lang w:val="en-GB" w:eastAsia="en-GB"/>
        </w:rPr>
        <w:t>was</w:t>
      </w:r>
      <w:r w:rsidR="00B7065C">
        <w:rPr>
          <w:rFonts w:ascii="Arial" w:eastAsia="Times New Roman" w:hAnsi="Arial" w:cs="Arial"/>
          <w:sz w:val="24"/>
          <w:szCs w:val="24"/>
          <w:lang w:val="en-GB" w:eastAsia="en-GB"/>
        </w:rPr>
        <w:t xml:space="preserve"> always</w:t>
      </w:r>
      <w:r w:rsidRPr="00854047">
        <w:rPr>
          <w:rFonts w:ascii="Arial" w:eastAsia="Times New Roman" w:hAnsi="Arial" w:cs="Arial"/>
          <w:sz w:val="24"/>
          <w:szCs w:val="24"/>
          <w:lang w:val="en-GB" w:eastAsia="en-GB"/>
        </w:rPr>
        <w:t xml:space="preserve"> likely</w:t>
      </w:r>
      <w:r w:rsidR="00CB47A3">
        <w:rPr>
          <w:rFonts w:ascii="Arial" w:eastAsia="Times New Roman" w:hAnsi="Arial" w:cs="Arial"/>
          <w:sz w:val="24"/>
          <w:szCs w:val="24"/>
          <w:lang w:val="en-GB" w:eastAsia="en-GB"/>
        </w:rPr>
        <w:t>,</w:t>
      </w:r>
      <w:r w:rsidRPr="0085404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and </w:t>
      </w:r>
      <w:r w:rsidR="00CB47A3">
        <w:rPr>
          <w:rFonts w:ascii="Arial" w:eastAsia="Times New Roman" w:hAnsi="Arial" w:cs="Arial"/>
          <w:sz w:val="24"/>
          <w:szCs w:val="24"/>
          <w:lang w:val="en-GB" w:eastAsia="en-GB"/>
        </w:rPr>
        <w:t xml:space="preserve">indeed </w:t>
      </w:r>
      <w:r>
        <w:rPr>
          <w:rFonts w:ascii="Arial" w:eastAsia="Times New Roman" w:hAnsi="Arial" w:cs="Arial"/>
          <w:sz w:val="24"/>
          <w:szCs w:val="24"/>
          <w:lang w:val="en-GB" w:eastAsia="en-GB"/>
        </w:rPr>
        <w:t>proved</w:t>
      </w:r>
      <w:r w:rsidR="00CB47A3">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Pr="00854047">
        <w:rPr>
          <w:rFonts w:ascii="Arial" w:eastAsia="Times New Roman" w:hAnsi="Arial" w:cs="Arial"/>
          <w:sz w:val="24"/>
          <w:szCs w:val="24"/>
          <w:lang w:val="en-GB" w:eastAsia="en-GB"/>
        </w:rPr>
        <w:t xml:space="preserve">to be relatively expensive. The learning curve </w:t>
      </w:r>
      <w:r>
        <w:rPr>
          <w:rFonts w:ascii="Arial" w:eastAsia="Times New Roman" w:hAnsi="Arial" w:cs="Arial"/>
          <w:sz w:val="24"/>
          <w:szCs w:val="24"/>
          <w:lang w:val="en-GB" w:eastAsia="en-GB"/>
        </w:rPr>
        <w:t xml:space="preserve">had </w:t>
      </w:r>
      <w:r w:rsidRPr="00854047">
        <w:rPr>
          <w:rFonts w:ascii="Arial" w:eastAsia="Times New Roman" w:hAnsi="Arial" w:cs="Arial"/>
          <w:sz w:val="24"/>
          <w:szCs w:val="24"/>
          <w:lang w:val="en-GB" w:eastAsia="en-GB"/>
        </w:rPr>
        <w:t>to be climbed</w:t>
      </w:r>
      <w:r>
        <w:rPr>
          <w:rFonts w:ascii="Arial" w:eastAsia="Times New Roman" w:hAnsi="Arial" w:cs="Arial"/>
          <w:sz w:val="24"/>
          <w:szCs w:val="24"/>
          <w:lang w:val="en-GB" w:eastAsia="en-GB"/>
        </w:rPr>
        <w:t>. U</w:t>
      </w:r>
      <w:r w:rsidRPr="00854047">
        <w:rPr>
          <w:rFonts w:ascii="Arial" w:eastAsia="Times New Roman" w:hAnsi="Arial" w:cs="Arial"/>
          <w:sz w:val="24"/>
          <w:szCs w:val="24"/>
          <w:lang w:val="en-GB" w:eastAsia="en-GB"/>
        </w:rPr>
        <w:t>ncertainty le</w:t>
      </w:r>
      <w:r>
        <w:rPr>
          <w:rFonts w:ascii="Arial" w:eastAsia="Times New Roman" w:hAnsi="Arial" w:cs="Arial"/>
          <w:sz w:val="24"/>
          <w:szCs w:val="24"/>
          <w:lang w:val="en-GB" w:eastAsia="en-GB"/>
        </w:rPr>
        <w:t>d</w:t>
      </w:r>
      <w:r w:rsidRPr="00854047">
        <w:rPr>
          <w:rFonts w:ascii="Arial" w:eastAsia="Times New Roman" w:hAnsi="Arial" w:cs="Arial"/>
          <w:sz w:val="24"/>
          <w:szCs w:val="24"/>
          <w:lang w:val="en-GB" w:eastAsia="en-GB"/>
        </w:rPr>
        <w:t xml:space="preserve"> to higher </w:t>
      </w:r>
      <w:r w:rsidRPr="00854047">
        <w:rPr>
          <w:rFonts w:ascii="Arial" w:eastAsia="Times New Roman" w:hAnsi="Arial" w:cs="Arial"/>
          <w:sz w:val="24"/>
          <w:szCs w:val="24"/>
          <w:lang w:val="en-GB" w:eastAsia="en-GB"/>
        </w:rPr>
        <w:lastRenderedPageBreak/>
        <w:t>risk-pricing</w:t>
      </w:r>
      <w:r w:rsidR="00F46640">
        <w:rPr>
          <w:rFonts w:ascii="Arial" w:eastAsia="Times New Roman" w:hAnsi="Arial" w:cs="Arial"/>
          <w:sz w:val="24"/>
          <w:szCs w:val="24"/>
          <w:lang w:val="en-GB" w:eastAsia="en-GB"/>
        </w:rPr>
        <w:t>, leading to</w:t>
      </w:r>
      <w:r w:rsidRPr="00854047">
        <w:rPr>
          <w:rFonts w:ascii="Arial" w:eastAsia="Times New Roman" w:hAnsi="Arial" w:cs="Arial"/>
          <w:sz w:val="24"/>
          <w:szCs w:val="24"/>
          <w:lang w:val="en-GB" w:eastAsia="en-GB"/>
        </w:rPr>
        <w:t xml:space="preserve"> complaints about the supra-normal returns </w:t>
      </w:r>
      <w:r w:rsidR="00F46640">
        <w:rPr>
          <w:rFonts w:ascii="Arial" w:eastAsia="Times New Roman" w:hAnsi="Arial" w:cs="Arial"/>
          <w:sz w:val="24"/>
          <w:szCs w:val="24"/>
          <w:lang w:val="en-GB" w:eastAsia="en-GB"/>
        </w:rPr>
        <w:t>that</w:t>
      </w:r>
      <w:r w:rsidRPr="00854047">
        <w:rPr>
          <w:rFonts w:ascii="Arial" w:eastAsia="Times New Roman" w:hAnsi="Arial" w:cs="Arial"/>
          <w:sz w:val="24"/>
          <w:szCs w:val="24"/>
          <w:lang w:val="en-GB" w:eastAsia="en-GB"/>
        </w:rPr>
        <w:t xml:space="preserve"> some early PFI</w:t>
      </w:r>
      <w:r w:rsidR="00DB2797">
        <w:rPr>
          <w:rFonts w:ascii="Arial" w:eastAsia="Times New Roman" w:hAnsi="Arial" w:cs="Arial"/>
          <w:sz w:val="24"/>
          <w:szCs w:val="24"/>
          <w:lang w:val="en-GB" w:eastAsia="en-GB"/>
        </w:rPr>
        <w:t>’s reported</w:t>
      </w:r>
      <w:r>
        <w:rPr>
          <w:rFonts w:ascii="Arial" w:eastAsia="Times New Roman" w:hAnsi="Arial" w:cs="Arial"/>
          <w:sz w:val="24"/>
          <w:szCs w:val="24"/>
          <w:lang w:val="en-GB" w:eastAsia="en-GB"/>
        </w:rPr>
        <w:t xml:space="preserve">. </w:t>
      </w:r>
    </w:p>
    <w:p w14:paraId="12EB1303" w14:textId="77777777" w:rsidR="00984D94" w:rsidRDefault="00984D94" w:rsidP="00984D94">
      <w:pPr>
        <w:spacing w:after="0" w:line="240" w:lineRule="auto"/>
        <w:rPr>
          <w:rFonts w:ascii="Arial" w:eastAsia="Times New Roman" w:hAnsi="Arial" w:cs="Arial"/>
          <w:sz w:val="24"/>
          <w:szCs w:val="24"/>
          <w:lang w:val="en-GB" w:eastAsia="en-GB"/>
        </w:rPr>
      </w:pPr>
    </w:p>
    <w:p w14:paraId="5F451FD9" w14:textId="70FD216B" w:rsidR="00984D94" w:rsidRDefault="00DB2797" w:rsidP="00984D94">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At the same time, th</w:t>
      </w:r>
      <w:r w:rsidR="00984D94" w:rsidRPr="00854047">
        <w:rPr>
          <w:rFonts w:ascii="Arial" w:eastAsia="Times New Roman" w:hAnsi="Arial" w:cs="Arial"/>
          <w:sz w:val="24"/>
          <w:szCs w:val="24"/>
          <w:lang w:val="en-GB" w:eastAsia="en-GB"/>
        </w:rPr>
        <w:t xml:space="preserve">e prospect of incurring high transaction costs during a protracted and novel procurement process </w:t>
      </w:r>
      <w:r w:rsidR="00984D94">
        <w:rPr>
          <w:rFonts w:ascii="Arial" w:eastAsia="Times New Roman" w:hAnsi="Arial" w:cs="Arial"/>
          <w:sz w:val="24"/>
          <w:szCs w:val="24"/>
          <w:lang w:val="en-GB" w:eastAsia="en-GB"/>
        </w:rPr>
        <w:t>dis</w:t>
      </w:r>
      <w:r w:rsidR="00984D94" w:rsidRPr="00854047">
        <w:rPr>
          <w:rFonts w:ascii="Arial" w:eastAsia="Times New Roman" w:hAnsi="Arial" w:cs="Arial"/>
          <w:sz w:val="24"/>
          <w:szCs w:val="24"/>
          <w:lang w:val="en-GB" w:eastAsia="en-GB"/>
        </w:rPr>
        <w:t>couraged market interest</w:t>
      </w:r>
      <w:r w:rsidR="00984D94">
        <w:rPr>
          <w:rFonts w:ascii="Arial" w:eastAsia="Times New Roman" w:hAnsi="Arial" w:cs="Arial"/>
          <w:sz w:val="24"/>
          <w:szCs w:val="24"/>
          <w:lang w:val="en-GB" w:eastAsia="en-GB"/>
        </w:rPr>
        <w:t xml:space="preserve">, resulting in limited competition, sometimes confined to </w:t>
      </w:r>
      <w:r w:rsidR="00984D94" w:rsidRPr="00854047">
        <w:rPr>
          <w:rFonts w:ascii="Arial" w:eastAsia="Times New Roman" w:hAnsi="Arial" w:cs="Arial"/>
          <w:sz w:val="24"/>
          <w:szCs w:val="24"/>
          <w:lang w:val="en-GB" w:eastAsia="en-GB"/>
        </w:rPr>
        <w:t>one bidder shortlists</w:t>
      </w:r>
      <w:r w:rsidR="00B7065C">
        <w:rPr>
          <w:rFonts w:ascii="Arial" w:eastAsia="Times New Roman" w:hAnsi="Arial" w:cs="Arial"/>
          <w:sz w:val="24"/>
          <w:szCs w:val="24"/>
          <w:lang w:val="en-GB" w:eastAsia="en-GB"/>
        </w:rPr>
        <w:t>, compounding the problem</w:t>
      </w:r>
      <w:r w:rsidR="00984D94" w:rsidRPr="00854047">
        <w:rPr>
          <w:rFonts w:ascii="Arial" w:eastAsia="Times New Roman" w:hAnsi="Arial" w:cs="Arial"/>
          <w:sz w:val="24"/>
          <w:szCs w:val="24"/>
          <w:lang w:val="en-GB" w:eastAsia="en-GB"/>
        </w:rPr>
        <w:t xml:space="preserve">. </w:t>
      </w:r>
    </w:p>
    <w:p w14:paraId="79E3A5CA" w14:textId="77777777" w:rsidR="00984D94" w:rsidRDefault="00984D94" w:rsidP="00984D94">
      <w:pPr>
        <w:spacing w:after="0" w:line="240" w:lineRule="auto"/>
        <w:rPr>
          <w:rFonts w:ascii="Arial" w:eastAsia="Times New Roman" w:hAnsi="Arial" w:cs="Arial"/>
          <w:sz w:val="24"/>
          <w:szCs w:val="24"/>
          <w:lang w:val="en-GB" w:eastAsia="en-GB"/>
        </w:rPr>
      </w:pPr>
    </w:p>
    <w:p w14:paraId="207C1824" w14:textId="4B5008B9" w:rsidR="00D82E1F" w:rsidRDefault="00984D94" w:rsidP="00984D94">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 practice, an effective ‘managed’ market </w:t>
      </w:r>
      <w:r w:rsidR="00DB279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given such imperfections</w:t>
      </w:r>
      <w:r w:rsidR="00DB279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was the best effective outcome that could have been hoped for. That remains the case for a</w:t>
      </w:r>
      <w:r w:rsidR="000F71D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future </w:t>
      </w:r>
      <w:r w:rsidRPr="00854047">
        <w:rPr>
          <w:rFonts w:ascii="Arial" w:eastAsia="Times New Roman" w:hAnsi="Arial" w:cs="Arial"/>
          <w:sz w:val="24"/>
          <w:szCs w:val="24"/>
          <w:lang w:val="en-GB" w:eastAsia="en-GB"/>
        </w:rPr>
        <w:t>PPP sector</w:t>
      </w:r>
      <w:r w:rsidR="009A1D68">
        <w:rPr>
          <w:rFonts w:ascii="Arial" w:eastAsia="Times New Roman" w:hAnsi="Arial" w:cs="Arial"/>
          <w:sz w:val="24"/>
          <w:szCs w:val="24"/>
          <w:lang w:val="en-GB" w:eastAsia="en-GB"/>
        </w:rPr>
        <w:t xml:space="preserve">, and </w:t>
      </w:r>
      <w:r w:rsidR="00C5728D">
        <w:rPr>
          <w:rFonts w:ascii="Arial" w:eastAsia="Times New Roman" w:hAnsi="Arial" w:cs="Arial"/>
          <w:sz w:val="24"/>
          <w:szCs w:val="24"/>
          <w:lang w:val="en-GB" w:eastAsia="en-GB"/>
        </w:rPr>
        <w:t xml:space="preserve">it </w:t>
      </w:r>
      <w:r w:rsidR="009A1D68">
        <w:rPr>
          <w:rFonts w:ascii="Arial" w:eastAsia="Times New Roman" w:hAnsi="Arial" w:cs="Arial"/>
          <w:sz w:val="24"/>
          <w:szCs w:val="24"/>
          <w:lang w:val="en-GB" w:eastAsia="en-GB"/>
        </w:rPr>
        <w:t>should be recognised</w:t>
      </w:r>
      <w:r w:rsidR="00FC3458">
        <w:rPr>
          <w:rFonts w:ascii="Arial" w:eastAsia="Times New Roman" w:hAnsi="Arial" w:cs="Arial"/>
          <w:sz w:val="24"/>
          <w:szCs w:val="24"/>
          <w:lang w:val="en-GB" w:eastAsia="en-GB"/>
        </w:rPr>
        <w:t xml:space="preserve"> now</w:t>
      </w:r>
      <w:r w:rsidR="009A1D68">
        <w:rPr>
          <w:rFonts w:ascii="Arial" w:eastAsia="Times New Roman" w:hAnsi="Arial" w:cs="Arial"/>
          <w:sz w:val="24"/>
          <w:szCs w:val="24"/>
          <w:lang w:val="en-GB" w:eastAsia="en-GB"/>
        </w:rPr>
        <w:t>.</w:t>
      </w:r>
    </w:p>
    <w:p w14:paraId="29DB6D32" w14:textId="77777777" w:rsidR="00D82E1F" w:rsidRDefault="00D82E1F" w:rsidP="00984D94">
      <w:pPr>
        <w:spacing w:after="0" w:line="240" w:lineRule="auto"/>
        <w:rPr>
          <w:rFonts w:ascii="Arial" w:eastAsia="Times New Roman" w:hAnsi="Arial" w:cs="Arial"/>
          <w:sz w:val="24"/>
          <w:szCs w:val="24"/>
          <w:lang w:val="en-GB" w:eastAsia="en-GB"/>
        </w:rPr>
      </w:pPr>
    </w:p>
    <w:p w14:paraId="3ECA3DB5" w14:textId="4B39EA53" w:rsidR="003D4A21" w:rsidRDefault="00623311" w:rsidP="003D4A21">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In that light, i</w:t>
      </w:r>
      <w:r w:rsidR="00D82E1F">
        <w:rPr>
          <w:rFonts w:ascii="Arial" w:eastAsia="Times New Roman" w:hAnsi="Arial" w:cs="Arial"/>
          <w:sz w:val="24"/>
          <w:szCs w:val="24"/>
          <w:lang w:val="en-GB" w:eastAsia="en-GB"/>
        </w:rPr>
        <w:t xml:space="preserve">t is important that </w:t>
      </w:r>
      <w:r w:rsidR="00F536FB">
        <w:rPr>
          <w:rFonts w:ascii="Arial" w:eastAsia="Times New Roman" w:hAnsi="Arial" w:cs="Arial"/>
          <w:sz w:val="24"/>
          <w:szCs w:val="24"/>
          <w:lang w:val="en-GB" w:eastAsia="en-GB"/>
        </w:rPr>
        <w:t xml:space="preserve">future PPP arrangements are designed and selected </w:t>
      </w:r>
      <w:r w:rsidR="00984D94" w:rsidRPr="00854047">
        <w:rPr>
          <w:rFonts w:ascii="Arial" w:eastAsia="Times New Roman" w:hAnsi="Arial" w:cs="Arial"/>
          <w:sz w:val="24"/>
          <w:szCs w:val="24"/>
          <w:lang w:val="en-GB" w:eastAsia="en-GB"/>
        </w:rPr>
        <w:t xml:space="preserve">that </w:t>
      </w:r>
      <w:r w:rsidR="00F1386D">
        <w:rPr>
          <w:rFonts w:ascii="Arial" w:eastAsia="Times New Roman" w:hAnsi="Arial" w:cs="Arial"/>
          <w:sz w:val="24"/>
          <w:szCs w:val="24"/>
          <w:lang w:val="en-GB" w:eastAsia="en-GB"/>
        </w:rPr>
        <w:t xml:space="preserve">can </w:t>
      </w:r>
      <w:r w:rsidR="00984D94" w:rsidRPr="00854047">
        <w:rPr>
          <w:rFonts w:ascii="Arial" w:eastAsia="Times New Roman" w:hAnsi="Arial" w:cs="Arial"/>
          <w:sz w:val="24"/>
          <w:szCs w:val="24"/>
          <w:lang w:val="en-GB" w:eastAsia="en-GB"/>
        </w:rPr>
        <w:t xml:space="preserve">demonstrably add-value </w:t>
      </w:r>
      <w:r w:rsidR="008615EF">
        <w:rPr>
          <w:rFonts w:ascii="Arial" w:eastAsia="Times New Roman" w:hAnsi="Arial" w:cs="Arial"/>
          <w:sz w:val="24"/>
          <w:szCs w:val="24"/>
          <w:lang w:val="en-GB" w:eastAsia="en-GB"/>
        </w:rPr>
        <w:t>in terms of evidenced superior whol</w:t>
      </w:r>
      <w:r w:rsidR="003D4A21">
        <w:rPr>
          <w:rFonts w:ascii="Arial" w:eastAsia="Times New Roman" w:hAnsi="Arial" w:cs="Arial"/>
          <w:sz w:val="24"/>
          <w:szCs w:val="24"/>
          <w:lang w:val="en-GB" w:eastAsia="en-GB"/>
        </w:rPr>
        <w:t xml:space="preserve">e-life performance, rather than providing a means to achieve </w:t>
      </w:r>
      <w:r w:rsidR="004C7D21" w:rsidRPr="00D80012">
        <w:rPr>
          <w:rFonts w:ascii="Arial" w:eastAsia="Times New Roman" w:hAnsi="Arial" w:cs="Arial"/>
          <w:sz w:val="24"/>
          <w:szCs w:val="24"/>
          <w:lang w:val="en-GB" w:eastAsia="en-GB"/>
        </w:rPr>
        <w:t>in lower recorded levels of government debt and public spending in the short term</w:t>
      </w:r>
      <w:r w:rsidR="003D4A21">
        <w:rPr>
          <w:rFonts w:ascii="Arial" w:eastAsia="Times New Roman" w:hAnsi="Arial" w:cs="Arial"/>
          <w:sz w:val="24"/>
          <w:szCs w:val="24"/>
          <w:lang w:val="en-GB" w:eastAsia="en-GB"/>
        </w:rPr>
        <w:t>.</w:t>
      </w:r>
    </w:p>
    <w:p w14:paraId="051342AC" w14:textId="77777777" w:rsidR="003D4A21" w:rsidRDefault="003D4A21" w:rsidP="003D4A21">
      <w:pPr>
        <w:spacing w:after="0" w:line="240" w:lineRule="auto"/>
        <w:rPr>
          <w:rFonts w:ascii="Arial" w:eastAsia="Times New Roman" w:hAnsi="Arial" w:cs="Arial"/>
          <w:sz w:val="24"/>
          <w:szCs w:val="24"/>
          <w:lang w:val="en-GB" w:eastAsia="en-GB"/>
        </w:rPr>
      </w:pPr>
    </w:p>
    <w:p w14:paraId="17380284" w14:textId="71E4FD38" w:rsidR="00B23B49" w:rsidRDefault="004C7D21" w:rsidP="003D4A21">
      <w:pPr>
        <w:spacing w:after="0" w:line="240" w:lineRule="auto"/>
        <w:rPr>
          <w:rFonts w:ascii="Arial" w:eastAsia="Times New Roman" w:hAnsi="Arial" w:cs="Arial"/>
          <w:sz w:val="24"/>
          <w:szCs w:val="24"/>
          <w:lang w:val="en-GB" w:eastAsia="en-GB"/>
        </w:rPr>
      </w:pPr>
      <w:r w:rsidRPr="00D80012">
        <w:rPr>
          <w:rFonts w:ascii="Arial" w:eastAsia="Times New Roman" w:hAnsi="Arial" w:cs="Arial"/>
          <w:sz w:val="24"/>
          <w:szCs w:val="24"/>
          <w:lang w:val="en-GB" w:eastAsia="en-GB"/>
        </w:rPr>
        <w:t xml:space="preserve">Unlike conventional </w:t>
      </w:r>
      <w:r w:rsidR="00813995">
        <w:rPr>
          <w:rFonts w:ascii="Arial" w:eastAsia="Times New Roman" w:hAnsi="Arial" w:cs="Arial"/>
          <w:sz w:val="24"/>
          <w:szCs w:val="24"/>
          <w:lang w:val="en-GB" w:eastAsia="en-GB"/>
        </w:rPr>
        <w:t xml:space="preserve">public </w:t>
      </w:r>
      <w:r w:rsidRPr="00D80012">
        <w:rPr>
          <w:rFonts w:ascii="Arial" w:eastAsia="Times New Roman" w:hAnsi="Arial" w:cs="Arial"/>
          <w:sz w:val="24"/>
          <w:szCs w:val="24"/>
          <w:lang w:val="en-GB" w:eastAsia="en-GB"/>
        </w:rPr>
        <w:t xml:space="preserve">procurement, debt raised </w:t>
      </w:r>
      <w:r w:rsidR="00813995">
        <w:rPr>
          <w:rFonts w:ascii="Arial" w:eastAsia="Times New Roman" w:hAnsi="Arial" w:cs="Arial"/>
          <w:sz w:val="24"/>
          <w:szCs w:val="24"/>
          <w:lang w:val="en-GB" w:eastAsia="en-GB"/>
        </w:rPr>
        <w:t xml:space="preserve">by PPP’s </w:t>
      </w:r>
      <w:r w:rsidRPr="00D80012">
        <w:rPr>
          <w:rFonts w:ascii="Arial" w:eastAsia="Times New Roman" w:hAnsi="Arial" w:cs="Arial"/>
          <w:sz w:val="24"/>
          <w:szCs w:val="24"/>
          <w:lang w:val="en-GB" w:eastAsia="en-GB"/>
        </w:rPr>
        <w:t>to construct assets</w:t>
      </w:r>
      <w:r w:rsidR="009A5757">
        <w:rPr>
          <w:rFonts w:ascii="Arial" w:eastAsia="Times New Roman" w:hAnsi="Arial" w:cs="Arial"/>
          <w:sz w:val="24"/>
          <w:szCs w:val="24"/>
          <w:lang w:val="en-GB" w:eastAsia="en-GB"/>
        </w:rPr>
        <w:t xml:space="preserve"> can avoid </w:t>
      </w:r>
      <w:r w:rsidRPr="00D80012">
        <w:rPr>
          <w:rFonts w:ascii="Arial" w:eastAsia="Times New Roman" w:hAnsi="Arial" w:cs="Arial"/>
          <w:sz w:val="24"/>
          <w:szCs w:val="24"/>
          <w:lang w:val="en-GB" w:eastAsia="en-GB"/>
        </w:rPr>
        <w:t>featur</w:t>
      </w:r>
      <w:r w:rsidR="009A5757">
        <w:rPr>
          <w:rFonts w:ascii="Arial" w:eastAsia="Times New Roman" w:hAnsi="Arial" w:cs="Arial"/>
          <w:sz w:val="24"/>
          <w:szCs w:val="24"/>
          <w:lang w:val="en-GB" w:eastAsia="en-GB"/>
        </w:rPr>
        <w:t>ing</w:t>
      </w:r>
      <w:r w:rsidRPr="00D80012">
        <w:rPr>
          <w:rFonts w:ascii="Arial" w:eastAsia="Times New Roman" w:hAnsi="Arial" w:cs="Arial"/>
          <w:sz w:val="24"/>
          <w:szCs w:val="24"/>
          <w:lang w:val="en-GB" w:eastAsia="en-GB"/>
        </w:rPr>
        <w:t xml:space="preserve"> in government debt figures, and the capital investment is not recorded as public spending even </w:t>
      </w:r>
      <w:r w:rsidR="009A5757">
        <w:rPr>
          <w:rFonts w:ascii="Arial" w:eastAsia="Times New Roman" w:hAnsi="Arial" w:cs="Arial"/>
          <w:sz w:val="24"/>
          <w:szCs w:val="24"/>
          <w:lang w:val="en-GB" w:eastAsia="en-GB"/>
        </w:rPr>
        <w:t>where</w:t>
      </w:r>
      <w:r w:rsidRPr="00D80012">
        <w:rPr>
          <w:rFonts w:ascii="Arial" w:eastAsia="Times New Roman" w:hAnsi="Arial" w:cs="Arial"/>
          <w:sz w:val="24"/>
          <w:szCs w:val="24"/>
          <w:lang w:val="en-GB" w:eastAsia="en-GB"/>
        </w:rPr>
        <w:t xml:space="preserve"> it is for the public sector</w:t>
      </w:r>
      <w:r w:rsidR="004204E0">
        <w:rPr>
          <w:rFonts w:ascii="Arial" w:eastAsia="Times New Roman" w:hAnsi="Arial" w:cs="Arial"/>
          <w:sz w:val="24"/>
          <w:szCs w:val="24"/>
          <w:lang w:val="en-GB" w:eastAsia="en-GB"/>
        </w:rPr>
        <w:t>-</w:t>
      </w:r>
      <w:r w:rsidR="00EE6834">
        <w:rPr>
          <w:rFonts w:ascii="Arial" w:eastAsia="Times New Roman" w:hAnsi="Arial" w:cs="Arial"/>
          <w:sz w:val="24"/>
          <w:szCs w:val="24"/>
          <w:lang w:val="en-GB" w:eastAsia="en-GB"/>
        </w:rPr>
        <w:t xml:space="preserve"> if it meets defined accounting tests</w:t>
      </w:r>
      <w:r w:rsidRPr="00D80012">
        <w:rPr>
          <w:rFonts w:ascii="Arial" w:eastAsia="Times New Roman" w:hAnsi="Arial" w:cs="Arial"/>
          <w:sz w:val="24"/>
          <w:szCs w:val="24"/>
          <w:lang w:val="en-GB" w:eastAsia="en-GB"/>
        </w:rPr>
        <w:t xml:space="preserve">. </w:t>
      </w:r>
    </w:p>
    <w:p w14:paraId="5AD34C4E" w14:textId="77777777" w:rsidR="00B23B49" w:rsidRDefault="00B23B49" w:rsidP="003D4A21">
      <w:pPr>
        <w:spacing w:after="0" w:line="240" w:lineRule="auto"/>
        <w:rPr>
          <w:rFonts w:ascii="Arial" w:eastAsia="Times New Roman" w:hAnsi="Arial" w:cs="Arial"/>
          <w:sz w:val="24"/>
          <w:szCs w:val="24"/>
          <w:lang w:val="en-GB" w:eastAsia="en-GB"/>
        </w:rPr>
      </w:pPr>
    </w:p>
    <w:p w14:paraId="5CF08FB7" w14:textId="2E69FBF6" w:rsidR="002B2E65" w:rsidRDefault="005B4424" w:rsidP="00095D5C">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Such o</w:t>
      </w:r>
      <w:r w:rsidR="006A5E36">
        <w:rPr>
          <w:rFonts w:ascii="Arial" w:eastAsia="Times New Roman" w:hAnsi="Arial" w:cs="Arial"/>
          <w:sz w:val="24"/>
          <w:szCs w:val="24"/>
          <w:lang w:val="en-GB" w:eastAsia="en-GB"/>
        </w:rPr>
        <w:t xml:space="preserve">ff-public-balance-sheet PPP’s </w:t>
      </w:r>
      <w:r w:rsidR="00D25623">
        <w:rPr>
          <w:rFonts w:ascii="Arial" w:eastAsia="Times New Roman" w:hAnsi="Arial" w:cs="Arial"/>
          <w:sz w:val="24"/>
          <w:szCs w:val="24"/>
          <w:lang w:val="en-GB" w:eastAsia="en-GB"/>
        </w:rPr>
        <w:t xml:space="preserve">- </w:t>
      </w:r>
      <w:r w:rsidR="00622292">
        <w:rPr>
          <w:rFonts w:ascii="Arial" w:eastAsia="Times New Roman" w:hAnsi="Arial" w:cs="Arial"/>
          <w:sz w:val="24"/>
          <w:szCs w:val="24"/>
          <w:lang w:val="en-GB" w:eastAsia="en-GB"/>
        </w:rPr>
        <w:t>within the current cash-based public accounting system</w:t>
      </w:r>
      <w:r w:rsidR="00D25623">
        <w:rPr>
          <w:rFonts w:ascii="Arial" w:eastAsia="Times New Roman" w:hAnsi="Arial" w:cs="Arial"/>
          <w:sz w:val="24"/>
          <w:szCs w:val="24"/>
          <w:lang w:val="en-GB" w:eastAsia="en-GB"/>
        </w:rPr>
        <w:t xml:space="preserve"> -</w:t>
      </w:r>
      <w:r w:rsidR="00622292">
        <w:rPr>
          <w:rFonts w:ascii="Arial" w:eastAsia="Times New Roman" w:hAnsi="Arial" w:cs="Arial"/>
          <w:sz w:val="24"/>
          <w:szCs w:val="24"/>
          <w:lang w:val="en-GB" w:eastAsia="en-GB"/>
        </w:rPr>
        <w:t xml:space="preserve"> </w:t>
      </w:r>
      <w:r w:rsidR="00B23B49">
        <w:rPr>
          <w:rFonts w:ascii="Arial" w:eastAsia="Times New Roman" w:hAnsi="Arial" w:cs="Arial"/>
          <w:sz w:val="24"/>
          <w:szCs w:val="24"/>
          <w:lang w:val="en-GB" w:eastAsia="en-GB"/>
        </w:rPr>
        <w:t>can a</w:t>
      </w:r>
      <w:r w:rsidR="004C7D21" w:rsidRPr="00D80012">
        <w:rPr>
          <w:rFonts w:ascii="Arial" w:eastAsia="Times New Roman" w:hAnsi="Arial" w:cs="Arial"/>
          <w:sz w:val="24"/>
          <w:szCs w:val="24"/>
          <w:lang w:val="en-GB" w:eastAsia="en-GB"/>
        </w:rPr>
        <w:t>llow public bodies to invest in capital projects when they do not have sufficient capital budgets</w:t>
      </w:r>
      <w:r w:rsidR="00D426D0">
        <w:rPr>
          <w:rFonts w:ascii="Arial" w:eastAsia="Times New Roman" w:hAnsi="Arial" w:cs="Arial"/>
          <w:sz w:val="24"/>
          <w:szCs w:val="24"/>
          <w:lang w:val="en-GB" w:eastAsia="en-GB"/>
        </w:rPr>
        <w:t xml:space="preserve"> to meet </w:t>
      </w:r>
      <w:r w:rsidR="001B2CFF">
        <w:rPr>
          <w:rFonts w:ascii="Arial" w:eastAsia="Times New Roman" w:hAnsi="Arial" w:cs="Arial"/>
          <w:sz w:val="24"/>
          <w:szCs w:val="24"/>
          <w:lang w:val="en-GB" w:eastAsia="en-GB"/>
        </w:rPr>
        <w:t>their investment costs up-front.</w:t>
      </w:r>
      <w:r w:rsidR="004F0E5A">
        <w:rPr>
          <w:rFonts w:ascii="Arial" w:eastAsia="Times New Roman" w:hAnsi="Arial" w:cs="Arial"/>
          <w:sz w:val="24"/>
          <w:szCs w:val="24"/>
          <w:lang w:val="en-GB" w:eastAsia="en-GB"/>
        </w:rPr>
        <w:t xml:space="preserve"> </w:t>
      </w:r>
      <w:r w:rsidR="006A5E36">
        <w:rPr>
          <w:rFonts w:ascii="Arial" w:eastAsia="Times New Roman" w:hAnsi="Arial" w:cs="Arial"/>
          <w:sz w:val="24"/>
          <w:szCs w:val="24"/>
          <w:lang w:val="en-GB" w:eastAsia="en-GB"/>
        </w:rPr>
        <w:t xml:space="preserve">This is because their public expenditure accounted </w:t>
      </w:r>
      <w:r w:rsidR="004C7D21" w:rsidRPr="00D80012">
        <w:rPr>
          <w:rFonts w:ascii="Arial" w:eastAsia="Times New Roman" w:hAnsi="Arial" w:cs="Arial"/>
          <w:sz w:val="24"/>
          <w:szCs w:val="24"/>
          <w:lang w:val="en-GB" w:eastAsia="en-GB"/>
        </w:rPr>
        <w:t xml:space="preserve">costs are spread out over </w:t>
      </w:r>
      <w:r w:rsidR="006A5E36">
        <w:rPr>
          <w:rFonts w:ascii="Arial" w:eastAsia="Times New Roman" w:hAnsi="Arial" w:cs="Arial"/>
          <w:sz w:val="24"/>
          <w:szCs w:val="24"/>
          <w:lang w:val="en-GB" w:eastAsia="en-GB"/>
        </w:rPr>
        <w:t>project lifetime</w:t>
      </w:r>
      <w:r>
        <w:rPr>
          <w:rFonts w:ascii="Arial" w:eastAsia="Times New Roman" w:hAnsi="Arial" w:cs="Arial"/>
          <w:sz w:val="24"/>
          <w:szCs w:val="24"/>
          <w:lang w:val="en-GB" w:eastAsia="en-GB"/>
        </w:rPr>
        <w:t xml:space="preserve"> and can be met by future revenue budgets.</w:t>
      </w:r>
      <w:r w:rsidR="002B2E65">
        <w:rPr>
          <w:rFonts w:ascii="Arial" w:eastAsia="Times New Roman" w:hAnsi="Arial" w:cs="Arial"/>
          <w:sz w:val="24"/>
          <w:szCs w:val="24"/>
          <w:lang w:val="en-GB" w:eastAsia="en-GB"/>
        </w:rPr>
        <w:t xml:space="preserve"> </w:t>
      </w:r>
    </w:p>
    <w:p w14:paraId="3929D296" w14:textId="77777777" w:rsidR="002B2E65" w:rsidRDefault="002B2E65" w:rsidP="00095D5C">
      <w:pPr>
        <w:spacing w:after="0" w:line="240" w:lineRule="auto"/>
        <w:rPr>
          <w:rFonts w:ascii="Arial" w:eastAsia="Times New Roman" w:hAnsi="Arial" w:cs="Arial"/>
          <w:sz w:val="24"/>
          <w:szCs w:val="24"/>
          <w:lang w:val="en-GB" w:eastAsia="en-GB"/>
        </w:rPr>
      </w:pPr>
    </w:p>
    <w:p w14:paraId="7645F9EB" w14:textId="1BEE24A4" w:rsidR="002A54C0" w:rsidRDefault="002B2E65" w:rsidP="00095D5C">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They can also be</w:t>
      </w:r>
      <w:r w:rsidR="00242BDC" w:rsidRPr="00D80012">
        <w:rPr>
          <w:rFonts w:ascii="Arial" w:eastAsia="Times New Roman" w:hAnsi="Arial" w:cs="Arial"/>
          <w:sz w:val="24"/>
          <w:szCs w:val="24"/>
          <w:lang w:val="en-GB" w:eastAsia="en-GB"/>
        </w:rPr>
        <w:t xml:space="preserve"> attractive to government as </w:t>
      </w:r>
      <w:r w:rsidR="005B4424">
        <w:rPr>
          <w:rFonts w:ascii="Arial" w:eastAsia="Times New Roman" w:hAnsi="Arial" w:cs="Arial"/>
          <w:sz w:val="24"/>
          <w:szCs w:val="24"/>
          <w:lang w:val="en-GB" w:eastAsia="en-GB"/>
        </w:rPr>
        <w:t xml:space="preserve">with their use, </w:t>
      </w:r>
      <w:r w:rsidR="00242BDC" w:rsidRPr="00D80012">
        <w:rPr>
          <w:rFonts w:ascii="Arial" w:eastAsia="Times New Roman" w:hAnsi="Arial" w:cs="Arial"/>
          <w:sz w:val="24"/>
          <w:szCs w:val="24"/>
          <w:lang w:val="en-GB" w:eastAsia="en-GB"/>
        </w:rPr>
        <w:t>recorded levels of debt will be lower over the short to medium term (five years ahead)</w:t>
      </w:r>
      <w:r w:rsidR="005B4424">
        <w:rPr>
          <w:rFonts w:ascii="Arial" w:eastAsia="Times New Roman" w:hAnsi="Arial" w:cs="Arial"/>
          <w:sz w:val="24"/>
          <w:szCs w:val="24"/>
          <w:lang w:val="en-GB" w:eastAsia="en-GB"/>
        </w:rPr>
        <w:t>,</w:t>
      </w:r>
      <w:r w:rsidR="00242BDC" w:rsidRPr="00D80012">
        <w:rPr>
          <w:rFonts w:ascii="Arial" w:eastAsia="Times New Roman" w:hAnsi="Arial" w:cs="Arial"/>
          <w:sz w:val="24"/>
          <w:szCs w:val="24"/>
          <w:lang w:val="en-GB" w:eastAsia="en-GB"/>
        </w:rPr>
        <w:t xml:space="preserve"> even if </w:t>
      </w:r>
      <w:r w:rsidR="00701F93">
        <w:rPr>
          <w:rFonts w:ascii="Arial" w:eastAsia="Times New Roman" w:hAnsi="Arial" w:cs="Arial"/>
          <w:sz w:val="24"/>
          <w:szCs w:val="24"/>
          <w:lang w:val="en-GB" w:eastAsia="en-GB"/>
        </w:rPr>
        <w:t>total</w:t>
      </w:r>
      <w:r w:rsidR="00242BDC" w:rsidRPr="00D80012">
        <w:rPr>
          <w:rFonts w:ascii="Arial" w:eastAsia="Times New Roman" w:hAnsi="Arial" w:cs="Arial"/>
          <w:sz w:val="24"/>
          <w:szCs w:val="24"/>
          <w:lang w:val="en-GB" w:eastAsia="en-GB"/>
        </w:rPr>
        <w:t xml:space="preserve"> </w:t>
      </w:r>
      <w:r w:rsidR="002A54C0">
        <w:rPr>
          <w:rFonts w:ascii="Arial" w:eastAsia="Times New Roman" w:hAnsi="Arial" w:cs="Arial"/>
          <w:sz w:val="24"/>
          <w:szCs w:val="24"/>
          <w:lang w:val="en-GB" w:eastAsia="en-GB"/>
        </w:rPr>
        <w:t xml:space="preserve">project </w:t>
      </w:r>
      <w:r w:rsidR="00242BDC" w:rsidRPr="00D80012">
        <w:rPr>
          <w:rFonts w:ascii="Arial" w:eastAsia="Times New Roman" w:hAnsi="Arial" w:cs="Arial"/>
          <w:sz w:val="24"/>
          <w:szCs w:val="24"/>
          <w:lang w:val="en-GB" w:eastAsia="en-GB"/>
        </w:rPr>
        <w:t xml:space="preserve">costs </w:t>
      </w:r>
      <w:r w:rsidR="009F6B37">
        <w:rPr>
          <w:rFonts w:ascii="Arial" w:eastAsia="Times New Roman" w:hAnsi="Arial" w:cs="Arial"/>
          <w:sz w:val="24"/>
          <w:szCs w:val="24"/>
          <w:lang w:val="en-GB" w:eastAsia="en-GB"/>
        </w:rPr>
        <w:t xml:space="preserve">of such PPP’s </w:t>
      </w:r>
      <w:r w:rsidR="00701F93">
        <w:rPr>
          <w:rFonts w:ascii="Arial" w:eastAsia="Times New Roman" w:hAnsi="Arial" w:cs="Arial"/>
          <w:sz w:val="24"/>
          <w:szCs w:val="24"/>
          <w:lang w:val="en-GB" w:eastAsia="en-GB"/>
        </w:rPr>
        <w:t xml:space="preserve">are </w:t>
      </w:r>
      <w:r w:rsidR="00242BDC" w:rsidRPr="00D80012">
        <w:rPr>
          <w:rFonts w:ascii="Arial" w:eastAsia="Times New Roman" w:hAnsi="Arial" w:cs="Arial"/>
          <w:sz w:val="24"/>
          <w:szCs w:val="24"/>
          <w:lang w:val="en-GB" w:eastAsia="en-GB"/>
        </w:rPr>
        <w:t xml:space="preserve">significantly more over the </w:t>
      </w:r>
      <w:r w:rsidR="0009528E">
        <w:rPr>
          <w:rFonts w:ascii="Arial" w:eastAsia="Times New Roman" w:hAnsi="Arial" w:cs="Arial"/>
          <w:sz w:val="24"/>
          <w:szCs w:val="24"/>
          <w:lang w:val="en-GB" w:eastAsia="en-GB"/>
        </w:rPr>
        <w:t>entire project-life</w:t>
      </w:r>
      <w:r>
        <w:rPr>
          <w:rFonts w:ascii="Arial" w:eastAsia="Times New Roman" w:hAnsi="Arial" w:cs="Arial"/>
          <w:sz w:val="24"/>
          <w:szCs w:val="24"/>
          <w:lang w:val="en-GB" w:eastAsia="en-GB"/>
        </w:rPr>
        <w:t xml:space="preserve">. </w:t>
      </w:r>
    </w:p>
    <w:p w14:paraId="71094FF9" w14:textId="77777777" w:rsidR="002A54C0" w:rsidRDefault="002A54C0" w:rsidP="00095D5C">
      <w:pPr>
        <w:spacing w:after="0" w:line="240" w:lineRule="auto"/>
        <w:rPr>
          <w:rFonts w:ascii="Arial" w:eastAsia="Times New Roman" w:hAnsi="Arial" w:cs="Arial"/>
          <w:sz w:val="24"/>
          <w:szCs w:val="24"/>
          <w:lang w:val="en-GB" w:eastAsia="en-GB"/>
        </w:rPr>
      </w:pPr>
    </w:p>
    <w:p w14:paraId="55CC9049" w14:textId="33BF7CE3" w:rsidR="00242BDC" w:rsidRDefault="002B2E65" w:rsidP="00095D5C">
      <w:pPr>
        <w:spacing w:after="0" w:line="240" w:lineRule="auto"/>
        <w:rPr>
          <w:rFonts w:ascii="Arial" w:eastAsia="Times New Roman" w:hAnsi="Arial" w:cs="Times New Roman"/>
          <w:color w:val="666666"/>
          <w:sz w:val="24"/>
          <w:szCs w:val="24"/>
        </w:rPr>
      </w:pPr>
      <w:r>
        <w:rPr>
          <w:rFonts w:ascii="Arial" w:eastAsia="Times New Roman" w:hAnsi="Arial" w:cs="Arial"/>
          <w:sz w:val="24"/>
          <w:szCs w:val="24"/>
          <w:lang w:val="en-GB" w:eastAsia="en-GB"/>
        </w:rPr>
        <w:t>This</w:t>
      </w:r>
      <w:r w:rsidR="002A54C0">
        <w:rPr>
          <w:rFonts w:ascii="Arial" w:eastAsia="Times New Roman" w:hAnsi="Arial" w:cs="Arial"/>
          <w:sz w:val="24"/>
          <w:szCs w:val="24"/>
          <w:lang w:val="en-GB" w:eastAsia="en-GB"/>
        </w:rPr>
        <w:t xml:space="preserve"> perverse incentive is a </w:t>
      </w:r>
      <w:r w:rsidR="00503E6C">
        <w:rPr>
          <w:rFonts w:ascii="Arial" w:eastAsia="Times New Roman" w:hAnsi="Arial" w:cs="Arial"/>
          <w:sz w:val="24"/>
          <w:szCs w:val="24"/>
          <w:lang w:val="en-GB" w:eastAsia="en-GB"/>
        </w:rPr>
        <w:t>part-</w:t>
      </w:r>
      <w:r w:rsidR="002A54C0">
        <w:rPr>
          <w:rFonts w:ascii="Arial" w:eastAsia="Times New Roman" w:hAnsi="Arial" w:cs="Arial"/>
          <w:sz w:val="24"/>
          <w:szCs w:val="24"/>
          <w:lang w:val="en-GB" w:eastAsia="en-GB"/>
        </w:rPr>
        <w:t xml:space="preserve">product </w:t>
      </w:r>
      <w:r w:rsidR="00EB0DA5">
        <w:rPr>
          <w:rFonts w:ascii="Arial" w:eastAsia="Times New Roman" w:hAnsi="Arial" w:cs="Arial"/>
          <w:sz w:val="24"/>
          <w:szCs w:val="24"/>
          <w:lang w:val="en-GB" w:eastAsia="en-GB"/>
        </w:rPr>
        <w:t>of mechanistic debt</w:t>
      </w:r>
      <w:r w:rsidR="00E156AB">
        <w:rPr>
          <w:rFonts w:ascii="Arial" w:eastAsia="Times New Roman" w:hAnsi="Arial" w:cs="Arial"/>
          <w:sz w:val="24"/>
          <w:szCs w:val="24"/>
          <w:lang w:val="en-GB" w:eastAsia="en-GB"/>
        </w:rPr>
        <w:t>-to-GDP-type fiscal rules</w:t>
      </w:r>
      <w:r>
        <w:rPr>
          <w:rFonts w:ascii="Arial" w:eastAsia="Times New Roman" w:hAnsi="Arial" w:cs="Arial"/>
          <w:sz w:val="24"/>
          <w:szCs w:val="24"/>
          <w:lang w:val="en-GB" w:eastAsia="en-GB"/>
        </w:rPr>
        <w:t>, whether New Labour’s Sustainable Investment Rule</w:t>
      </w:r>
      <w:r w:rsidR="002A54C0">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or the current governmen</w:t>
      </w:r>
      <w:r w:rsidR="00A62F02">
        <w:rPr>
          <w:rFonts w:ascii="Arial" w:eastAsia="Times New Roman" w:hAnsi="Arial" w:cs="Arial"/>
          <w:sz w:val="24"/>
          <w:szCs w:val="24"/>
          <w:lang w:val="en-GB" w:eastAsia="en-GB"/>
        </w:rPr>
        <w:t>t</w:t>
      </w:r>
      <w:r w:rsidR="00D012B8">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Supplementary Debt </w:t>
      </w:r>
      <w:r w:rsidR="00D012B8">
        <w:rPr>
          <w:rFonts w:ascii="Arial" w:eastAsia="Times New Roman" w:hAnsi="Arial" w:cs="Arial"/>
          <w:sz w:val="24"/>
          <w:szCs w:val="24"/>
          <w:lang w:val="en-GB" w:eastAsia="en-GB"/>
        </w:rPr>
        <w:t>Rule, where debt expressed as a percentage of GDP must fall over</w:t>
      </w:r>
      <w:r w:rsidR="00A62F02">
        <w:rPr>
          <w:rFonts w:ascii="Arial" w:eastAsia="Times New Roman" w:hAnsi="Arial" w:cs="Arial"/>
          <w:sz w:val="24"/>
          <w:szCs w:val="24"/>
          <w:lang w:val="en-GB" w:eastAsia="en-GB"/>
        </w:rPr>
        <w:t xml:space="preserve"> the lifetime of the 2017-22 Parliament. </w:t>
      </w:r>
    </w:p>
    <w:p w14:paraId="5A82FDAA" w14:textId="6E4A3DB8" w:rsidR="00257AFB" w:rsidRDefault="00257AFB" w:rsidP="00095D5C">
      <w:pPr>
        <w:spacing w:after="0" w:line="240" w:lineRule="auto"/>
        <w:rPr>
          <w:rFonts w:ascii="Arial" w:eastAsia="Times New Roman" w:hAnsi="Arial" w:cs="Times New Roman"/>
          <w:color w:val="666666"/>
          <w:sz w:val="24"/>
          <w:szCs w:val="24"/>
        </w:rPr>
      </w:pPr>
    </w:p>
    <w:p w14:paraId="20662F2F" w14:textId="63CAFBE1" w:rsidR="0042070D" w:rsidRDefault="00297D0B" w:rsidP="0042070D">
      <w:pPr>
        <w:spacing w:after="0" w:line="240" w:lineRule="auto"/>
        <w:rPr>
          <w:rFonts w:ascii="Arial" w:eastAsia="Times New Roman" w:hAnsi="Arial" w:cs="Arial"/>
          <w:sz w:val="24"/>
          <w:szCs w:val="24"/>
          <w:lang w:val="en-GB" w:eastAsia="en-GB"/>
        </w:rPr>
      </w:pPr>
      <w:r w:rsidRPr="00257AFB">
        <w:rPr>
          <w:rFonts w:ascii="Arial" w:eastAsia="Times New Roman" w:hAnsi="Arial" w:cs="Arial"/>
          <w:sz w:val="24"/>
          <w:szCs w:val="24"/>
          <w:lang w:val="en-GB" w:eastAsia="en-GB"/>
        </w:rPr>
        <w:t xml:space="preserve">For </w:t>
      </w:r>
      <w:r w:rsidR="00503E6C">
        <w:rPr>
          <w:rFonts w:ascii="Arial" w:eastAsia="Times New Roman" w:hAnsi="Arial" w:cs="Arial"/>
          <w:sz w:val="24"/>
          <w:szCs w:val="24"/>
          <w:lang w:val="en-GB" w:eastAsia="en-GB"/>
        </w:rPr>
        <w:t>all these</w:t>
      </w:r>
      <w:r w:rsidRPr="00257AFB">
        <w:rPr>
          <w:rFonts w:ascii="Arial" w:eastAsia="Times New Roman" w:hAnsi="Arial" w:cs="Arial"/>
          <w:sz w:val="24"/>
          <w:szCs w:val="24"/>
          <w:lang w:val="en-GB" w:eastAsia="en-GB"/>
        </w:rPr>
        <w:t xml:space="preserve"> reason</w:t>
      </w:r>
      <w:r w:rsidR="00503E6C">
        <w:rPr>
          <w:rFonts w:ascii="Arial" w:eastAsia="Times New Roman" w:hAnsi="Arial" w:cs="Arial"/>
          <w:sz w:val="24"/>
          <w:szCs w:val="24"/>
          <w:lang w:val="en-GB" w:eastAsia="en-GB"/>
        </w:rPr>
        <w:t>s</w:t>
      </w:r>
      <w:r w:rsidRPr="00257AFB">
        <w:rPr>
          <w:rFonts w:ascii="Arial" w:eastAsia="Times New Roman" w:hAnsi="Arial" w:cs="Arial"/>
          <w:sz w:val="24"/>
          <w:szCs w:val="24"/>
          <w:lang w:val="en-GB" w:eastAsia="en-GB"/>
        </w:rPr>
        <w:t xml:space="preserve">, </w:t>
      </w:r>
      <w:r w:rsidR="0042070D">
        <w:rPr>
          <w:rFonts w:ascii="Arial" w:eastAsia="Times New Roman" w:hAnsi="Arial" w:cs="Arial"/>
          <w:sz w:val="24"/>
          <w:szCs w:val="24"/>
          <w:lang w:val="en-GB" w:eastAsia="en-GB"/>
        </w:rPr>
        <w:t>t</w:t>
      </w:r>
      <w:r w:rsidR="0042070D" w:rsidRPr="00257AFB">
        <w:rPr>
          <w:rFonts w:ascii="Arial" w:eastAsia="Times New Roman" w:hAnsi="Arial" w:cs="Arial"/>
          <w:sz w:val="24"/>
          <w:szCs w:val="24"/>
          <w:lang w:val="en-GB" w:eastAsia="en-GB"/>
        </w:rPr>
        <w:t>he NIC’s proposed analytical framework for comparing the whole life costs and benefits of private financing and traditional procurement on an objective whole-life project basis</w:t>
      </w:r>
      <w:r w:rsidR="00A62F02">
        <w:rPr>
          <w:rFonts w:ascii="Arial" w:eastAsia="Times New Roman" w:hAnsi="Arial" w:cs="Arial"/>
          <w:sz w:val="24"/>
          <w:szCs w:val="24"/>
          <w:lang w:val="en-GB" w:eastAsia="en-GB"/>
        </w:rPr>
        <w:t>,</w:t>
      </w:r>
      <w:r w:rsidR="0042070D" w:rsidRPr="00257AFB">
        <w:rPr>
          <w:rFonts w:ascii="Arial" w:eastAsia="Times New Roman" w:hAnsi="Arial" w:cs="Arial"/>
          <w:sz w:val="24"/>
          <w:szCs w:val="24"/>
          <w:lang w:val="en-GB" w:eastAsia="en-GB"/>
        </w:rPr>
        <w:t xml:space="preserve"> </w:t>
      </w:r>
      <w:r w:rsidR="00742C0F">
        <w:rPr>
          <w:rFonts w:ascii="Arial" w:eastAsia="Times New Roman" w:hAnsi="Arial" w:cs="Arial"/>
          <w:sz w:val="24"/>
          <w:szCs w:val="24"/>
          <w:lang w:val="en-GB" w:eastAsia="en-GB"/>
        </w:rPr>
        <w:t>seems</w:t>
      </w:r>
      <w:r w:rsidR="00A62F02">
        <w:rPr>
          <w:rFonts w:ascii="Arial" w:eastAsia="Times New Roman" w:hAnsi="Arial" w:cs="Arial"/>
          <w:sz w:val="24"/>
          <w:szCs w:val="24"/>
          <w:lang w:val="en-GB" w:eastAsia="en-GB"/>
        </w:rPr>
        <w:t xml:space="preserve"> to offer</w:t>
      </w:r>
      <w:r w:rsidR="00742C0F">
        <w:rPr>
          <w:rFonts w:ascii="Arial" w:eastAsia="Times New Roman" w:hAnsi="Arial" w:cs="Arial"/>
          <w:sz w:val="24"/>
          <w:szCs w:val="24"/>
          <w:lang w:val="en-GB" w:eastAsia="en-GB"/>
        </w:rPr>
        <w:t xml:space="preserve"> </w:t>
      </w:r>
      <w:r w:rsidR="0042070D" w:rsidRPr="00257AFB">
        <w:rPr>
          <w:rFonts w:ascii="Arial" w:eastAsia="Times New Roman" w:hAnsi="Arial" w:cs="Arial"/>
          <w:sz w:val="24"/>
          <w:szCs w:val="24"/>
          <w:lang w:val="en-GB" w:eastAsia="en-GB"/>
        </w:rPr>
        <w:t>an incomplete starting-point.</w:t>
      </w:r>
    </w:p>
    <w:p w14:paraId="5BC1293B" w14:textId="1C57AEC7" w:rsidR="00DD0330" w:rsidRDefault="00DD0330" w:rsidP="0042070D">
      <w:pPr>
        <w:spacing w:after="0" w:line="240" w:lineRule="auto"/>
        <w:rPr>
          <w:rFonts w:ascii="Arial" w:eastAsia="Times New Roman" w:hAnsi="Arial" w:cs="Arial"/>
          <w:sz w:val="24"/>
          <w:szCs w:val="24"/>
          <w:lang w:val="en-GB" w:eastAsia="en-GB"/>
        </w:rPr>
      </w:pPr>
    </w:p>
    <w:p w14:paraId="73E76779" w14:textId="77777777" w:rsidR="004F0E5A" w:rsidRDefault="0042070D" w:rsidP="0042070D">
      <w:pPr>
        <w:spacing w:after="390" w:line="240" w:lineRule="auto"/>
      </w:pPr>
      <w:r w:rsidRPr="00257AFB">
        <w:rPr>
          <w:rFonts w:ascii="Arial" w:eastAsia="Times New Roman" w:hAnsi="Arial" w:cs="Arial"/>
          <w:sz w:val="24"/>
          <w:szCs w:val="24"/>
          <w:lang w:val="en-GB" w:eastAsia="en-GB"/>
        </w:rPr>
        <w:t>Its future effective development will wait upon the establishment and embedding of economically appropriate institutional arrangements for the design and setting of the future public funding envelope for public infrastructural investment.</w:t>
      </w:r>
      <w:r w:rsidR="006F7DA3" w:rsidRPr="006F7DA3">
        <w:t xml:space="preserve"> </w:t>
      </w:r>
    </w:p>
    <w:p w14:paraId="0B2CD66D" w14:textId="221E5FB4" w:rsidR="0042070D" w:rsidRPr="00257AFB" w:rsidRDefault="006F7DA3" w:rsidP="0042070D">
      <w:pPr>
        <w:spacing w:after="390" w:line="240" w:lineRule="auto"/>
        <w:rPr>
          <w:rFonts w:ascii="Arial" w:eastAsia="Times New Roman" w:hAnsi="Arial" w:cs="Arial"/>
          <w:sz w:val="24"/>
          <w:szCs w:val="24"/>
          <w:lang w:val="en-GB" w:eastAsia="en-GB"/>
        </w:rPr>
      </w:pPr>
      <w:r w:rsidRPr="006F7DA3">
        <w:rPr>
          <w:rFonts w:ascii="Arial" w:eastAsia="Times New Roman" w:hAnsi="Arial" w:cs="Arial"/>
          <w:sz w:val="24"/>
          <w:szCs w:val="24"/>
          <w:lang w:val="en-GB" w:eastAsia="en-GB"/>
        </w:rPr>
        <w:t xml:space="preserve">Such a reformed fiscal rule framework should put public procurement and PPP’s </w:t>
      </w:r>
      <w:r w:rsidR="005B471E">
        <w:rPr>
          <w:rFonts w:ascii="Arial" w:eastAsia="Times New Roman" w:hAnsi="Arial" w:cs="Arial"/>
          <w:sz w:val="24"/>
          <w:szCs w:val="24"/>
          <w:lang w:val="en-GB" w:eastAsia="en-GB"/>
        </w:rPr>
        <w:t>fir</w:t>
      </w:r>
      <w:r w:rsidR="00DE0AA0">
        <w:rPr>
          <w:rFonts w:ascii="Arial" w:eastAsia="Times New Roman" w:hAnsi="Arial" w:cs="Arial"/>
          <w:sz w:val="24"/>
          <w:szCs w:val="24"/>
          <w:lang w:val="en-GB" w:eastAsia="en-GB"/>
        </w:rPr>
        <w:t xml:space="preserve">mly </w:t>
      </w:r>
      <w:r w:rsidRPr="006F7DA3">
        <w:rPr>
          <w:rFonts w:ascii="Arial" w:eastAsia="Times New Roman" w:hAnsi="Arial" w:cs="Arial"/>
          <w:sz w:val="24"/>
          <w:szCs w:val="24"/>
          <w:lang w:val="en-GB" w:eastAsia="en-GB"/>
        </w:rPr>
        <w:t>on a level playing field.</w:t>
      </w:r>
    </w:p>
    <w:p w14:paraId="6B0280EC" w14:textId="70E67841" w:rsidR="007B5354" w:rsidRDefault="000B3309" w:rsidP="00095D5C">
      <w:pPr>
        <w:spacing w:after="0" w:line="240" w:lineRule="auto"/>
        <w:rPr>
          <w:rFonts w:ascii="Arial" w:eastAsia="Times New Roman" w:hAnsi="Arial" w:cs="Arial"/>
          <w:sz w:val="24"/>
          <w:szCs w:val="24"/>
          <w:lang w:val="en-GB" w:eastAsia="en-GB"/>
        </w:rPr>
      </w:pPr>
      <w:r w:rsidRPr="00257AFB">
        <w:rPr>
          <w:rFonts w:ascii="Arial" w:eastAsia="Times New Roman" w:hAnsi="Arial" w:cs="Arial"/>
          <w:sz w:val="24"/>
          <w:szCs w:val="24"/>
          <w:lang w:val="en-GB" w:eastAsia="en-GB"/>
        </w:rPr>
        <w:lastRenderedPageBreak/>
        <w:t xml:space="preserve">Capital spending on both </w:t>
      </w:r>
      <w:r w:rsidR="00D047D6" w:rsidRPr="00257AFB">
        <w:rPr>
          <w:rFonts w:ascii="Arial" w:eastAsia="Times New Roman" w:hAnsi="Arial" w:cs="Arial"/>
          <w:sz w:val="24"/>
          <w:szCs w:val="24"/>
          <w:lang w:val="en-GB" w:eastAsia="en-GB"/>
        </w:rPr>
        <w:t xml:space="preserve">conventional </w:t>
      </w:r>
      <w:r w:rsidR="00C85EDD" w:rsidRPr="00257AFB">
        <w:rPr>
          <w:rFonts w:ascii="Arial" w:eastAsia="Times New Roman" w:hAnsi="Arial" w:cs="Arial"/>
          <w:sz w:val="24"/>
          <w:szCs w:val="24"/>
          <w:lang w:val="en-GB" w:eastAsia="en-GB"/>
        </w:rPr>
        <w:t xml:space="preserve">and PPP’s </w:t>
      </w:r>
      <w:r w:rsidR="00031B6E" w:rsidRPr="00257AFB">
        <w:rPr>
          <w:rFonts w:ascii="Arial" w:eastAsia="Times New Roman" w:hAnsi="Arial" w:cs="Arial"/>
          <w:sz w:val="24"/>
          <w:szCs w:val="24"/>
          <w:lang w:val="en-GB" w:eastAsia="en-GB"/>
        </w:rPr>
        <w:t>should be freed from year-</w:t>
      </w:r>
      <w:r w:rsidR="007D1DB3" w:rsidRPr="00257AFB">
        <w:rPr>
          <w:rFonts w:ascii="Arial" w:eastAsia="Times New Roman" w:hAnsi="Arial" w:cs="Arial"/>
          <w:sz w:val="24"/>
          <w:szCs w:val="24"/>
          <w:lang w:val="en-GB" w:eastAsia="en-GB"/>
        </w:rPr>
        <w:t xml:space="preserve">to-year financial cash-limits, but their modelled </w:t>
      </w:r>
      <w:r w:rsidR="00434C17" w:rsidRPr="00257AFB">
        <w:rPr>
          <w:rFonts w:ascii="Arial" w:eastAsia="Times New Roman" w:hAnsi="Arial" w:cs="Arial"/>
          <w:sz w:val="24"/>
          <w:szCs w:val="24"/>
          <w:lang w:val="en-GB" w:eastAsia="en-GB"/>
        </w:rPr>
        <w:t xml:space="preserve">future revenue liabilities included in </w:t>
      </w:r>
      <w:r w:rsidR="00B30A08" w:rsidRPr="00257AFB">
        <w:rPr>
          <w:rFonts w:ascii="Arial" w:eastAsia="Times New Roman" w:hAnsi="Arial" w:cs="Arial"/>
          <w:sz w:val="24"/>
          <w:szCs w:val="24"/>
          <w:lang w:val="en-GB" w:eastAsia="en-GB"/>
        </w:rPr>
        <w:t>future government debt projections</w:t>
      </w:r>
      <w:r w:rsidR="00C85EDD" w:rsidRPr="00257AFB">
        <w:rPr>
          <w:rFonts w:ascii="Arial" w:eastAsia="Times New Roman" w:hAnsi="Arial" w:cs="Arial"/>
          <w:sz w:val="24"/>
          <w:szCs w:val="24"/>
          <w:lang w:val="en-GB" w:eastAsia="en-GB"/>
        </w:rPr>
        <w:t xml:space="preserve"> used to </w:t>
      </w:r>
      <w:r w:rsidR="003E6903" w:rsidRPr="00257AFB">
        <w:rPr>
          <w:rFonts w:ascii="Arial" w:eastAsia="Times New Roman" w:hAnsi="Arial" w:cs="Arial"/>
          <w:sz w:val="24"/>
          <w:szCs w:val="24"/>
          <w:lang w:val="en-GB" w:eastAsia="en-GB"/>
        </w:rPr>
        <w:t>assess future debt sust</w:t>
      </w:r>
      <w:r w:rsidR="00FC7726" w:rsidRPr="00257AFB">
        <w:rPr>
          <w:rFonts w:ascii="Arial" w:eastAsia="Times New Roman" w:hAnsi="Arial" w:cs="Arial"/>
          <w:sz w:val="24"/>
          <w:szCs w:val="24"/>
          <w:lang w:val="en-GB" w:eastAsia="en-GB"/>
        </w:rPr>
        <w:t>ainability.</w:t>
      </w:r>
    </w:p>
    <w:p w14:paraId="54A05883" w14:textId="26708005" w:rsidR="009A231C" w:rsidRDefault="009A231C" w:rsidP="00095D5C">
      <w:pPr>
        <w:spacing w:after="0" w:line="240" w:lineRule="auto"/>
        <w:rPr>
          <w:rFonts w:ascii="Arial" w:eastAsia="Times New Roman" w:hAnsi="Arial" w:cs="Arial"/>
          <w:sz w:val="24"/>
          <w:szCs w:val="24"/>
          <w:lang w:val="en-GB" w:eastAsia="en-GB"/>
        </w:rPr>
      </w:pPr>
    </w:p>
    <w:p w14:paraId="12221306" w14:textId="17E3A8CE" w:rsidR="00297D0B" w:rsidRDefault="0017576E" w:rsidP="00095D5C">
      <w:pPr>
        <w:spacing w:after="0" w:line="240" w:lineRule="auto"/>
        <w:rPr>
          <w:rFonts w:ascii="Arial" w:eastAsia="Times New Roman" w:hAnsi="Arial" w:cs="Arial"/>
          <w:sz w:val="24"/>
          <w:szCs w:val="24"/>
          <w:lang w:val="en-GB" w:eastAsia="en-GB"/>
        </w:rPr>
      </w:pPr>
      <w:r w:rsidRPr="00257AFB">
        <w:rPr>
          <w:rFonts w:ascii="Arial" w:eastAsia="Times New Roman" w:hAnsi="Arial" w:cs="Arial"/>
          <w:sz w:val="24"/>
          <w:szCs w:val="24"/>
          <w:lang w:val="en-GB" w:eastAsia="en-GB"/>
        </w:rPr>
        <w:t>T</w:t>
      </w:r>
      <w:r w:rsidR="005B155E" w:rsidRPr="00257AFB">
        <w:rPr>
          <w:rFonts w:ascii="Arial" w:eastAsia="Times New Roman" w:hAnsi="Arial" w:cs="Arial"/>
          <w:sz w:val="24"/>
          <w:szCs w:val="24"/>
          <w:lang w:val="en-GB" w:eastAsia="en-GB"/>
        </w:rPr>
        <w:t xml:space="preserve">he choice </w:t>
      </w:r>
      <w:r w:rsidR="00DC3FFB" w:rsidRPr="00257AFB">
        <w:rPr>
          <w:rFonts w:ascii="Arial" w:eastAsia="Times New Roman" w:hAnsi="Arial" w:cs="Arial"/>
          <w:sz w:val="24"/>
          <w:szCs w:val="24"/>
          <w:lang w:val="en-GB" w:eastAsia="en-GB"/>
        </w:rPr>
        <w:t xml:space="preserve">of procurement route </w:t>
      </w:r>
      <w:r w:rsidRPr="00257AFB">
        <w:rPr>
          <w:rFonts w:ascii="Arial" w:eastAsia="Times New Roman" w:hAnsi="Arial" w:cs="Arial"/>
          <w:sz w:val="24"/>
          <w:szCs w:val="24"/>
          <w:lang w:val="en-GB" w:eastAsia="en-GB"/>
        </w:rPr>
        <w:t xml:space="preserve">should </w:t>
      </w:r>
      <w:r w:rsidR="00DC3FFB" w:rsidRPr="00257AFB">
        <w:rPr>
          <w:rFonts w:ascii="Arial" w:eastAsia="Times New Roman" w:hAnsi="Arial" w:cs="Arial"/>
          <w:sz w:val="24"/>
          <w:szCs w:val="24"/>
          <w:lang w:val="en-GB" w:eastAsia="en-GB"/>
        </w:rPr>
        <w:t>strictly an</w:t>
      </w:r>
      <w:r w:rsidRPr="00257AFB">
        <w:rPr>
          <w:rFonts w:ascii="Arial" w:eastAsia="Times New Roman" w:hAnsi="Arial" w:cs="Arial"/>
          <w:sz w:val="24"/>
          <w:szCs w:val="24"/>
          <w:lang w:val="en-GB" w:eastAsia="en-GB"/>
        </w:rPr>
        <w:t>d</w:t>
      </w:r>
      <w:r w:rsidR="00DC3FFB" w:rsidRPr="00257AFB">
        <w:rPr>
          <w:rFonts w:ascii="Arial" w:eastAsia="Times New Roman" w:hAnsi="Arial" w:cs="Arial"/>
          <w:sz w:val="24"/>
          <w:szCs w:val="24"/>
          <w:lang w:val="en-GB" w:eastAsia="en-GB"/>
        </w:rPr>
        <w:t xml:space="preserve"> wholly </w:t>
      </w:r>
      <w:r w:rsidR="000B0A42" w:rsidRPr="00257AFB">
        <w:rPr>
          <w:rFonts w:ascii="Arial" w:eastAsia="Times New Roman" w:hAnsi="Arial" w:cs="Arial"/>
          <w:sz w:val="24"/>
          <w:szCs w:val="24"/>
          <w:lang w:val="en-GB" w:eastAsia="en-GB"/>
        </w:rPr>
        <w:t>be</w:t>
      </w:r>
      <w:r w:rsidR="00621E5C">
        <w:rPr>
          <w:rFonts w:ascii="Arial" w:eastAsia="Times New Roman" w:hAnsi="Arial" w:cs="Arial"/>
          <w:sz w:val="24"/>
          <w:szCs w:val="24"/>
          <w:lang w:val="en-GB" w:eastAsia="en-GB"/>
        </w:rPr>
        <w:t xml:space="preserve"> determined </w:t>
      </w:r>
      <w:r w:rsidR="000B0A42" w:rsidRPr="00257AFB">
        <w:rPr>
          <w:rFonts w:ascii="Arial" w:eastAsia="Times New Roman" w:hAnsi="Arial" w:cs="Arial"/>
          <w:sz w:val="24"/>
          <w:szCs w:val="24"/>
          <w:lang w:val="en-GB" w:eastAsia="en-GB"/>
        </w:rPr>
        <w:t xml:space="preserve">relative </w:t>
      </w:r>
      <w:r w:rsidR="00DC3FFB" w:rsidRPr="00257AFB">
        <w:rPr>
          <w:rFonts w:ascii="Arial" w:eastAsia="Times New Roman" w:hAnsi="Arial" w:cs="Arial"/>
          <w:sz w:val="24"/>
          <w:szCs w:val="24"/>
          <w:lang w:val="en-GB" w:eastAsia="en-GB"/>
        </w:rPr>
        <w:t>whole-life project efficiency, with all</w:t>
      </w:r>
      <w:r w:rsidR="003B6370" w:rsidRPr="00257AFB">
        <w:rPr>
          <w:rFonts w:ascii="Arial" w:eastAsia="Times New Roman" w:hAnsi="Arial" w:cs="Arial"/>
          <w:sz w:val="24"/>
          <w:szCs w:val="24"/>
          <w:lang w:val="en-GB" w:eastAsia="en-GB"/>
        </w:rPr>
        <w:t xml:space="preserve"> assumptions </w:t>
      </w:r>
      <w:r w:rsidR="00FC7726" w:rsidRPr="00257AFB">
        <w:rPr>
          <w:rFonts w:ascii="Arial" w:eastAsia="Times New Roman" w:hAnsi="Arial" w:cs="Arial"/>
          <w:sz w:val="24"/>
          <w:szCs w:val="24"/>
          <w:lang w:val="en-GB" w:eastAsia="en-GB"/>
        </w:rPr>
        <w:t xml:space="preserve">used in that choice </w:t>
      </w:r>
      <w:r w:rsidR="003B6370" w:rsidRPr="00257AFB">
        <w:rPr>
          <w:rFonts w:ascii="Arial" w:eastAsia="Times New Roman" w:hAnsi="Arial" w:cs="Arial"/>
          <w:sz w:val="24"/>
          <w:szCs w:val="24"/>
          <w:lang w:val="en-GB" w:eastAsia="en-GB"/>
        </w:rPr>
        <w:t>transparently defined</w:t>
      </w:r>
      <w:r w:rsidR="00F73BC5" w:rsidRPr="00257AFB">
        <w:rPr>
          <w:rFonts w:ascii="Arial" w:eastAsia="Times New Roman" w:hAnsi="Arial" w:cs="Arial"/>
          <w:sz w:val="24"/>
          <w:szCs w:val="24"/>
          <w:lang w:val="en-GB" w:eastAsia="en-GB"/>
        </w:rPr>
        <w:t>, an</w:t>
      </w:r>
      <w:r w:rsidR="00876ECD" w:rsidRPr="00257AFB">
        <w:rPr>
          <w:rFonts w:ascii="Arial" w:eastAsia="Times New Roman" w:hAnsi="Arial" w:cs="Arial"/>
          <w:sz w:val="24"/>
          <w:szCs w:val="24"/>
          <w:lang w:val="en-GB" w:eastAsia="en-GB"/>
        </w:rPr>
        <w:t>d assessed</w:t>
      </w:r>
      <w:r w:rsidR="00495470">
        <w:rPr>
          <w:rFonts w:ascii="Arial" w:eastAsia="Times New Roman" w:hAnsi="Arial" w:cs="Arial"/>
          <w:sz w:val="24"/>
          <w:szCs w:val="24"/>
          <w:lang w:val="en-GB" w:eastAsia="en-GB"/>
        </w:rPr>
        <w:t>,</w:t>
      </w:r>
      <w:r w:rsidR="00876ECD" w:rsidRPr="00257AFB">
        <w:rPr>
          <w:rFonts w:ascii="Arial" w:eastAsia="Times New Roman" w:hAnsi="Arial" w:cs="Arial"/>
          <w:sz w:val="24"/>
          <w:szCs w:val="24"/>
          <w:lang w:val="en-GB" w:eastAsia="en-GB"/>
        </w:rPr>
        <w:t xml:space="preserve"> by the NIC. </w:t>
      </w:r>
      <w:r w:rsidR="003B6370" w:rsidRPr="00257AFB">
        <w:rPr>
          <w:rFonts w:ascii="Arial" w:eastAsia="Times New Roman" w:hAnsi="Arial" w:cs="Arial"/>
          <w:sz w:val="24"/>
          <w:szCs w:val="24"/>
          <w:lang w:val="en-GB" w:eastAsia="en-GB"/>
        </w:rPr>
        <w:t xml:space="preserve"> </w:t>
      </w:r>
    </w:p>
    <w:p w14:paraId="790C050D" w14:textId="77777777" w:rsidR="00980309" w:rsidRDefault="00980309" w:rsidP="00095D5C">
      <w:pPr>
        <w:spacing w:after="0" w:line="240" w:lineRule="auto"/>
        <w:rPr>
          <w:rFonts w:ascii="Arial" w:eastAsia="Times New Roman" w:hAnsi="Arial" w:cs="Arial"/>
          <w:sz w:val="24"/>
          <w:szCs w:val="24"/>
          <w:lang w:val="en-GB" w:eastAsia="en-GB"/>
        </w:rPr>
      </w:pPr>
    </w:p>
    <w:p w14:paraId="34B9AE39" w14:textId="5D0D2437" w:rsidR="00257AFB" w:rsidRPr="00257AFB" w:rsidRDefault="00980309" w:rsidP="00012C83">
      <w:pPr>
        <w:spacing w:after="0" w:line="240" w:lineRule="auto"/>
        <w:rPr>
          <w:rFonts w:ascii="Arial" w:eastAsia="Times New Roman" w:hAnsi="Arial" w:cs="Arial"/>
          <w:sz w:val="24"/>
          <w:szCs w:val="24"/>
          <w:lang w:val="en-GB" w:eastAsia="en-GB"/>
        </w:rPr>
      </w:pPr>
      <w:r w:rsidRPr="00202F68">
        <w:rPr>
          <w:rFonts w:ascii="Arial" w:eastAsia="Times New Roman" w:hAnsi="Arial" w:cs="Arial"/>
          <w:i/>
          <w:iCs/>
          <w:sz w:val="24"/>
          <w:szCs w:val="24"/>
          <w:lang w:val="en-GB" w:eastAsia="en-GB"/>
        </w:rPr>
        <w:t>Table I</w:t>
      </w:r>
      <w:r>
        <w:rPr>
          <w:rFonts w:ascii="Arial" w:eastAsia="Times New Roman" w:hAnsi="Arial" w:cs="Arial"/>
          <w:sz w:val="24"/>
          <w:szCs w:val="24"/>
          <w:lang w:val="en-GB" w:eastAsia="en-GB"/>
        </w:rPr>
        <w:t xml:space="preserve"> </w:t>
      </w:r>
      <w:r w:rsidR="00E22162">
        <w:rPr>
          <w:rFonts w:ascii="Arial" w:eastAsia="Times New Roman" w:hAnsi="Arial" w:cs="Arial"/>
          <w:sz w:val="24"/>
          <w:szCs w:val="24"/>
          <w:lang w:val="en-GB" w:eastAsia="en-GB"/>
        </w:rPr>
        <w:t xml:space="preserve">outlines some of the major issues that </w:t>
      </w:r>
      <w:r w:rsidR="00982817">
        <w:rPr>
          <w:rFonts w:ascii="Arial" w:eastAsia="Times New Roman" w:hAnsi="Arial" w:cs="Arial"/>
          <w:sz w:val="24"/>
          <w:szCs w:val="24"/>
          <w:lang w:val="en-GB" w:eastAsia="en-GB"/>
        </w:rPr>
        <w:t xml:space="preserve">in the future will need to be at the heart </w:t>
      </w:r>
      <w:r w:rsidR="003634CC">
        <w:rPr>
          <w:rFonts w:ascii="Arial" w:eastAsia="Times New Roman" w:hAnsi="Arial" w:cs="Arial"/>
          <w:sz w:val="24"/>
          <w:szCs w:val="24"/>
          <w:lang w:val="en-GB" w:eastAsia="en-GB"/>
        </w:rPr>
        <w:t xml:space="preserve">of </w:t>
      </w:r>
      <w:r w:rsidR="00244AE8">
        <w:rPr>
          <w:rFonts w:ascii="Arial" w:eastAsia="Times New Roman" w:hAnsi="Arial" w:cs="Arial"/>
          <w:sz w:val="24"/>
          <w:szCs w:val="24"/>
          <w:lang w:val="en-GB" w:eastAsia="en-GB"/>
        </w:rPr>
        <w:t>such assessments.</w:t>
      </w:r>
      <w:r w:rsidR="004455FE">
        <w:rPr>
          <w:rFonts w:ascii="Arial" w:eastAsia="Times New Roman" w:hAnsi="Arial" w:cs="Arial"/>
          <w:sz w:val="24"/>
          <w:szCs w:val="24"/>
          <w:lang w:val="en-GB" w:eastAsia="en-GB"/>
        </w:rPr>
        <w:t xml:space="preserve"> </w:t>
      </w:r>
      <w:r w:rsidR="00257AFB" w:rsidRPr="00257AFB">
        <w:rPr>
          <w:rFonts w:ascii="Arial" w:eastAsia="Times New Roman" w:hAnsi="Arial" w:cs="Arial"/>
          <w:sz w:val="24"/>
          <w:szCs w:val="24"/>
          <w:lang w:val="en-GB" w:eastAsia="en-GB"/>
        </w:rPr>
        <w:br w:type="page"/>
      </w:r>
    </w:p>
    <w:p w14:paraId="52475CE2" w14:textId="77777777" w:rsidR="00257AFB" w:rsidRDefault="00257AFB" w:rsidP="00095D5C">
      <w:pPr>
        <w:spacing w:after="0" w:line="240" w:lineRule="auto"/>
        <w:rPr>
          <w:rFonts w:ascii="Arial" w:eastAsia="Times New Roman" w:hAnsi="Arial" w:cs="Times New Roman"/>
          <w:color w:val="666666"/>
          <w:sz w:val="24"/>
          <w:szCs w:val="24"/>
        </w:rPr>
      </w:pPr>
    </w:p>
    <w:p w14:paraId="51547A49" w14:textId="472C8A62" w:rsidR="002E4EFB" w:rsidRDefault="002E4EFB" w:rsidP="00095D5C">
      <w:pPr>
        <w:spacing w:after="0" w:line="240" w:lineRule="auto"/>
        <w:rPr>
          <w:rFonts w:ascii="Arial" w:eastAsia="Times New Roman" w:hAnsi="Arial" w:cs="Times New Roman"/>
          <w:color w:val="666666"/>
          <w:sz w:val="24"/>
          <w:szCs w:val="24"/>
        </w:rPr>
      </w:pPr>
    </w:p>
    <w:p w14:paraId="508537A0" w14:textId="77777777" w:rsidR="00242BDC" w:rsidRDefault="00242BDC" w:rsidP="00984D94">
      <w:pPr>
        <w:rPr>
          <w:rFonts w:ascii="Arial" w:eastAsia="Times New Roman" w:hAnsi="Arial" w:cs="Times New Roman"/>
          <w:color w:val="666666"/>
          <w:sz w:val="24"/>
          <w:szCs w:val="24"/>
        </w:rPr>
      </w:pPr>
    </w:p>
    <w:p w14:paraId="2E3E7EF3" w14:textId="54D47066" w:rsidR="00854047" w:rsidRPr="00980309" w:rsidRDefault="00637742" w:rsidP="00854047">
      <w:pPr>
        <w:spacing w:after="0" w:line="240" w:lineRule="auto"/>
        <w:rPr>
          <w:rFonts w:ascii="Arial" w:eastAsia="Times New Roman" w:hAnsi="Arial" w:cs="Arial"/>
          <w:b/>
          <w:iCs/>
          <w:sz w:val="24"/>
          <w:szCs w:val="24"/>
          <w:lang w:val="en-GB" w:eastAsia="en-GB"/>
        </w:rPr>
      </w:pPr>
      <w:r>
        <w:rPr>
          <w:rFonts w:ascii="Arial" w:eastAsia="Times New Roman" w:hAnsi="Arial" w:cs="Arial"/>
          <w:b/>
          <w:sz w:val="24"/>
          <w:szCs w:val="24"/>
          <w:lang w:val="en-GB" w:eastAsia="en-GB"/>
        </w:rPr>
        <w:t>T</w:t>
      </w:r>
      <w:r w:rsidR="00854047" w:rsidRPr="00854047">
        <w:rPr>
          <w:rFonts w:ascii="Arial" w:eastAsia="Times New Roman" w:hAnsi="Arial" w:cs="Arial"/>
          <w:b/>
          <w:sz w:val="24"/>
          <w:szCs w:val="24"/>
          <w:lang w:val="en-GB" w:eastAsia="en-GB"/>
        </w:rPr>
        <w:t xml:space="preserve">able </w:t>
      </w:r>
      <w:r w:rsidR="00980309">
        <w:rPr>
          <w:rFonts w:ascii="Arial" w:eastAsia="Times New Roman" w:hAnsi="Arial" w:cs="Arial"/>
          <w:b/>
          <w:sz w:val="24"/>
          <w:szCs w:val="24"/>
          <w:lang w:val="en-GB" w:eastAsia="en-GB"/>
        </w:rPr>
        <w:t>1</w:t>
      </w:r>
      <w:r w:rsidR="00854047" w:rsidRPr="00854047">
        <w:rPr>
          <w:rFonts w:ascii="Arial" w:eastAsia="Times New Roman" w:hAnsi="Arial" w:cs="Arial"/>
          <w:b/>
          <w:sz w:val="24"/>
          <w:szCs w:val="24"/>
          <w:lang w:val="en-GB" w:eastAsia="en-GB"/>
        </w:rPr>
        <w:t>:</w:t>
      </w:r>
      <w:r w:rsidR="00854047" w:rsidRPr="00854047">
        <w:rPr>
          <w:rFonts w:ascii="Arial" w:eastAsia="Times New Roman" w:hAnsi="Arial" w:cs="Arial"/>
          <w:sz w:val="24"/>
          <w:szCs w:val="24"/>
          <w:lang w:val="en-GB" w:eastAsia="en-GB"/>
        </w:rPr>
        <w:t xml:space="preserve"> </w:t>
      </w:r>
      <w:r w:rsidR="00854047" w:rsidRPr="00980309">
        <w:rPr>
          <w:rFonts w:ascii="Arial" w:eastAsia="Times New Roman" w:hAnsi="Arial" w:cs="Arial"/>
          <w:b/>
          <w:iCs/>
          <w:sz w:val="24"/>
          <w:szCs w:val="24"/>
          <w:lang w:val="en-GB" w:eastAsia="en-GB"/>
        </w:rPr>
        <w:t>The</w:t>
      </w:r>
      <w:r w:rsidR="00982817">
        <w:rPr>
          <w:rFonts w:ascii="Arial" w:eastAsia="Times New Roman" w:hAnsi="Arial" w:cs="Arial"/>
          <w:b/>
          <w:iCs/>
          <w:sz w:val="24"/>
          <w:szCs w:val="24"/>
          <w:lang w:val="en-GB" w:eastAsia="en-GB"/>
        </w:rPr>
        <w:t xml:space="preserve"> selection of contract form and arrangements</w:t>
      </w:r>
      <w:r w:rsidR="00854047" w:rsidRPr="00980309">
        <w:rPr>
          <w:rFonts w:ascii="Arial" w:eastAsia="Times New Roman" w:hAnsi="Arial" w:cs="Arial"/>
          <w:b/>
          <w:iCs/>
          <w:sz w:val="24"/>
          <w:szCs w:val="24"/>
          <w:lang w:val="en-GB" w:eastAsia="en-GB"/>
        </w:rPr>
        <w:t>: the issues</w:t>
      </w:r>
      <w:r w:rsidR="00982817">
        <w:rPr>
          <w:rFonts w:ascii="Arial" w:eastAsia="Times New Roman" w:hAnsi="Arial" w:cs="Arial"/>
          <w:b/>
          <w:iCs/>
          <w:sz w:val="24"/>
          <w:szCs w:val="24"/>
          <w:lang w:val="en-GB" w:eastAsia="en-GB"/>
        </w:rPr>
        <w:t xml:space="preserve"> arising from the PFI experience </w:t>
      </w:r>
    </w:p>
    <w:tbl>
      <w:tblPr>
        <w:tblStyle w:val="TableGrid"/>
        <w:tblW w:w="9355" w:type="dxa"/>
        <w:tblLook w:val="01E0" w:firstRow="1" w:lastRow="1" w:firstColumn="1" w:lastColumn="1" w:noHBand="0" w:noVBand="0"/>
      </w:tblPr>
      <w:tblGrid>
        <w:gridCol w:w="417"/>
        <w:gridCol w:w="1777"/>
        <w:gridCol w:w="3539"/>
        <w:gridCol w:w="3622"/>
      </w:tblGrid>
      <w:tr w:rsidR="00854047" w:rsidRPr="00854047" w14:paraId="6292E6C2" w14:textId="77777777" w:rsidTr="006304F3">
        <w:tc>
          <w:tcPr>
            <w:tcW w:w="0" w:type="auto"/>
          </w:tcPr>
          <w:p w14:paraId="2E98ED32" w14:textId="77777777" w:rsidR="00854047" w:rsidRPr="00854047" w:rsidRDefault="00854047" w:rsidP="00854047">
            <w:pPr>
              <w:rPr>
                <w:rFonts w:ascii="Arial" w:hAnsi="Arial" w:cs="Arial"/>
                <w:sz w:val="24"/>
                <w:szCs w:val="24"/>
                <w:lang w:val="en-GB" w:eastAsia="en-GB"/>
              </w:rPr>
            </w:pPr>
          </w:p>
        </w:tc>
        <w:tc>
          <w:tcPr>
            <w:tcW w:w="1777" w:type="dxa"/>
          </w:tcPr>
          <w:p w14:paraId="3BD0647E" w14:textId="77777777" w:rsidR="00854047" w:rsidRPr="00854047" w:rsidRDefault="00854047" w:rsidP="00854047">
            <w:pPr>
              <w:rPr>
                <w:rFonts w:ascii="Arial" w:hAnsi="Arial" w:cs="Arial"/>
                <w:sz w:val="24"/>
                <w:szCs w:val="24"/>
                <w:lang w:val="en-GB" w:eastAsia="en-GB"/>
              </w:rPr>
            </w:pPr>
            <w:r w:rsidRPr="00854047">
              <w:rPr>
                <w:rFonts w:ascii="Arial" w:hAnsi="Arial" w:cs="Arial"/>
                <w:b/>
                <w:sz w:val="24"/>
                <w:szCs w:val="24"/>
                <w:lang w:val="en-GB" w:eastAsia="en-GB"/>
              </w:rPr>
              <w:t>Issue</w:t>
            </w:r>
          </w:p>
        </w:tc>
        <w:tc>
          <w:tcPr>
            <w:tcW w:w="3539" w:type="dxa"/>
          </w:tcPr>
          <w:p w14:paraId="44ABFAA2" w14:textId="4C7D68C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Primary concern</w:t>
            </w:r>
          </w:p>
        </w:tc>
        <w:tc>
          <w:tcPr>
            <w:tcW w:w="3622" w:type="dxa"/>
          </w:tcPr>
          <w:p w14:paraId="14BAEFEC" w14:textId="6FB9C9A7" w:rsidR="00854047" w:rsidRPr="00854047" w:rsidRDefault="00695D9D" w:rsidP="00854047">
            <w:pPr>
              <w:rPr>
                <w:rFonts w:ascii="Arial" w:hAnsi="Arial" w:cs="Arial"/>
                <w:b/>
                <w:sz w:val="24"/>
                <w:szCs w:val="24"/>
                <w:lang w:val="en-GB" w:eastAsia="en-GB"/>
              </w:rPr>
            </w:pPr>
            <w:r>
              <w:rPr>
                <w:rFonts w:ascii="Arial" w:hAnsi="Arial" w:cs="Arial"/>
                <w:b/>
                <w:sz w:val="24"/>
                <w:szCs w:val="24"/>
                <w:lang w:val="en-GB" w:eastAsia="en-GB"/>
              </w:rPr>
              <w:t xml:space="preserve">Wider dimension </w:t>
            </w:r>
          </w:p>
        </w:tc>
      </w:tr>
      <w:tr w:rsidR="00854047" w:rsidRPr="00854047" w14:paraId="64C3AD3B" w14:textId="77777777" w:rsidTr="006304F3">
        <w:tc>
          <w:tcPr>
            <w:tcW w:w="0" w:type="auto"/>
          </w:tcPr>
          <w:p w14:paraId="38AB78E5"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1.</w:t>
            </w:r>
          </w:p>
        </w:tc>
        <w:tc>
          <w:tcPr>
            <w:tcW w:w="1777" w:type="dxa"/>
          </w:tcPr>
          <w:p w14:paraId="2549A98F"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Construction and operation risk</w:t>
            </w:r>
          </w:p>
        </w:tc>
        <w:tc>
          <w:tcPr>
            <w:tcW w:w="3539" w:type="dxa"/>
          </w:tcPr>
          <w:p w14:paraId="46D9B8F7" w14:textId="488B389E" w:rsidR="00280FC7" w:rsidRDefault="00854047" w:rsidP="00854047">
            <w:pPr>
              <w:rPr>
                <w:rFonts w:ascii="Arial" w:hAnsi="Arial" w:cs="Arial"/>
                <w:sz w:val="24"/>
                <w:szCs w:val="24"/>
                <w:lang w:val="en-GB" w:eastAsia="en-GB"/>
              </w:rPr>
            </w:pPr>
            <w:r w:rsidRPr="00854047">
              <w:rPr>
                <w:rFonts w:ascii="Arial" w:hAnsi="Arial" w:cs="Arial"/>
                <w:sz w:val="24"/>
                <w:szCs w:val="24"/>
                <w:lang w:val="en-GB" w:eastAsia="en-GB"/>
              </w:rPr>
              <w:t>PFI contracts</w:t>
            </w:r>
            <w:r w:rsidR="002E4CCD">
              <w:rPr>
                <w:rFonts w:ascii="Arial" w:hAnsi="Arial" w:cs="Arial"/>
                <w:sz w:val="24"/>
                <w:szCs w:val="24"/>
                <w:lang w:val="en-GB" w:eastAsia="en-GB"/>
              </w:rPr>
              <w:t xml:space="preserve"> fix</w:t>
            </w:r>
            <w:r w:rsidR="00982817">
              <w:rPr>
                <w:rFonts w:ascii="Arial" w:hAnsi="Arial" w:cs="Arial"/>
                <w:sz w:val="24"/>
                <w:szCs w:val="24"/>
                <w:lang w:val="en-GB" w:eastAsia="en-GB"/>
              </w:rPr>
              <w:t>ed</w:t>
            </w:r>
            <w:r w:rsidR="002E4CCD">
              <w:rPr>
                <w:rFonts w:ascii="Arial" w:hAnsi="Arial" w:cs="Arial"/>
                <w:sz w:val="24"/>
                <w:szCs w:val="24"/>
                <w:lang w:val="en-GB" w:eastAsia="en-GB"/>
              </w:rPr>
              <w:t xml:space="preserve"> construction cost</w:t>
            </w:r>
            <w:r w:rsidR="00280FC7">
              <w:rPr>
                <w:rFonts w:ascii="Arial" w:hAnsi="Arial" w:cs="Arial"/>
                <w:sz w:val="24"/>
                <w:szCs w:val="24"/>
                <w:lang w:val="en-GB" w:eastAsia="en-GB"/>
              </w:rPr>
              <w:t>.</w:t>
            </w:r>
          </w:p>
          <w:p w14:paraId="44A201D9" w14:textId="77777777" w:rsidR="00CA1D82" w:rsidRDefault="00CA1D82" w:rsidP="00854047">
            <w:pPr>
              <w:rPr>
                <w:rFonts w:ascii="Arial" w:hAnsi="Arial" w:cs="Arial"/>
                <w:sz w:val="24"/>
                <w:szCs w:val="24"/>
                <w:lang w:val="en-GB" w:eastAsia="en-GB"/>
              </w:rPr>
            </w:pPr>
          </w:p>
          <w:p w14:paraId="223F4705" w14:textId="50D98A78" w:rsidR="00BB25DA" w:rsidRDefault="00280FC7" w:rsidP="00854047">
            <w:pPr>
              <w:rPr>
                <w:rFonts w:ascii="Arial" w:hAnsi="Arial" w:cs="Arial"/>
                <w:sz w:val="24"/>
                <w:szCs w:val="24"/>
                <w:lang w:val="en-GB" w:eastAsia="en-GB"/>
              </w:rPr>
            </w:pPr>
            <w:r>
              <w:rPr>
                <w:rFonts w:ascii="Arial" w:hAnsi="Arial" w:cs="Arial"/>
                <w:sz w:val="24"/>
                <w:szCs w:val="24"/>
                <w:lang w:val="en-GB" w:eastAsia="en-GB"/>
              </w:rPr>
              <w:t>O</w:t>
            </w:r>
            <w:r w:rsidR="00BB25DA">
              <w:rPr>
                <w:rFonts w:ascii="Arial" w:hAnsi="Arial" w:cs="Arial"/>
                <w:sz w:val="24"/>
                <w:szCs w:val="24"/>
                <w:lang w:val="en-GB" w:eastAsia="en-GB"/>
              </w:rPr>
              <w:t xml:space="preserve">perational costs subject to indexation and other </w:t>
            </w:r>
            <w:r w:rsidR="007134EF">
              <w:rPr>
                <w:rFonts w:ascii="Arial" w:hAnsi="Arial" w:cs="Arial"/>
                <w:sz w:val="24"/>
                <w:szCs w:val="24"/>
                <w:lang w:val="en-GB" w:eastAsia="en-GB"/>
              </w:rPr>
              <w:t xml:space="preserve">contractually </w:t>
            </w:r>
            <w:r w:rsidR="00BB25DA">
              <w:rPr>
                <w:rFonts w:ascii="Arial" w:hAnsi="Arial" w:cs="Arial"/>
                <w:sz w:val="24"/>
                <w:szCs w:val="24"/>
                <w:lang w:val="en-GB" w:eastAsia="en-GB"/>
              </w:rPr>
              <w:t xml:space="preserve">agreed </w:t>
            </w:r>
            <w:r w:rsidR="007134EF">
              <w:rPr>
                <w:rFonts w:ascii="Arial" w:hAnsi="Arial" w:cs="Arial"/>
                <w:sz w:val="24"/>
                <w:szCs w:val="24"/>
                <w:lang w:val="en-GB" w:eastAsia="en-GB"/>
              </w:rPr>
              <w:t>adjustments</w:t>
            </w:r>
            <w:r w:rsidR="00333DB8">
              <w:rPr>
                <w:rFonts w:ascii="Arial" w:hAnsi="Arial" w:cs="Arial"/>
                <w:sz w:val="24"/>
                <w:szCs w:val="24"/>
                <w:lang w:val="en-GB" w:eastAsia="en-GB"/>
              </w:rPr>
              <w:t>.</w:t>
            </w:r>
            <w:r w:rsidR="00886143">
              <w:rPr>
                <w:rFonts w:ascii="Arial" w:hAnsi="Arial" w:cs="Arial"/>
                <w:sz w:val="24"/>
                <w:szCs w:val="24"/>
                <w:lang w:val="en-GB" w:eastAsia="en-GB"/>
              </w:rPr>
              <w:t xml:space="preserve"> </w:t>
            </w:r>
          </w:p>
          <w:p w14:paraId="059BED17" w14:textId="77777777" w:rsidR="00BB25DA" w:rsidRDefault="00BB25DA" w:rsidP="00854047">
            <w:pPr>
              <w:rPr>
                <w:rFonts w:ascii="Arial" w:hAnsi="Arial" w:cs="Arial"/>
                <w:sz w:val="24"/>
                <w:szCs w:val="24"/>
                <w:lang w:val="en-GB" w:eastAsia="en-GB"/>
              </w:rPr>
            </w:pPr>
          </w:p>
          <w:p w14:paraId="15FA878D" w14:textId="7094555E" w:rsidR="00854047" w:rsidRPr="00854047" w:rsidRDefault="00886143" w:rsidP="00854047">
            <w:pPr>
              <w:rPr>
                <w:rFonts w:ascii="Arial" w:hAnsi="Arial" w:cs="Arial"/>
                <w:sz w:val="24"/>
                <w:szCs w:val="24"/>
                <w:lang w:val="en-GB" w:eastAsia="en-GB"/>
              </w:rPr>
            </w:pPr>
            <w:r>
              <w:rPr>
                <w:rFonts w:ascii="Arial" w:hAnsi="Arial" w:cs="Arial"/>
                <w:sz w:val="24"/>
                <w:szCs w:val="24"/>
                <w:lang w:val="en-GB" w:eastAsia="en-GB"/>
              </w:rPr>
              <w:t>C</w:t>
            </w:r>
            <w:r w:rsidR="00854047" w:rsidRPr="00854047">
              <w:rPr>
                <w:rFonts w:ascii="Arial" w:hAnsi="Arial" w:cs="Arial"/>
                <w:sz w:val="24"/>
                <w:szCs w:val="24"/>
                <w:lang w:val="en-GB" w:eastAsia="en-GB"/>
              </w:rPr>
              <w:t>onstruction risk in terms of completion</w:t>
            </w:r>
            <w:r w:rsidR="00BE4557">
              <w:rPr>
                <w:rFonts w:ascii="Arial" w:hAnsi="Arial" w:cs="Arial"/>
                <w:sz w:val="24"/>
                <w:szCs w:val="24"/>
                <w:lang w:val="en-GB" w:eastAsia="en-GB"/>
              </w:rPr>
              <w:t xml:space="preserve"> </w:t>
            </w:r>
            <w:r w:rsidR="00854047" w:rsidRPr="00854047">
              <w:rPr>
                <w:rFonts w:ascii="Arial" w:hAnsi="Arial" w:cs="Arial"/>
                <w:sz w:val="24"/>
                <w:szCs w:val="24"/>
                <w:lang w:val="en-GB" w:eastAsia="en-GB"/>
              </w:rPr>
              <w:t>on budget and time</w:t>
            </w:r>
            <w:r>
              <w:rPr>
                <w:rFonts w:ascii="Arial" w:hAnsi="Arial" w:cs="Arial"/>
                <w:sz w:val="24"/>
                <w:szCs w:val="24"/>
                <w:lang w:val="en-GB" w:eastAsia="en-GB"/>
              </w:rPr>
              <w:t xml:space="preserve"> and operation risk</w:t>
            </w:r>
            <w:r w:rsidR="00854047" w:rsidRPr="00854047">
              <w:rPr>
                <w:rFonts w:ascii="Arial" w:hAnsi="Arial" w:cs="Arial"/>
                <w:sz w:val="24"/>
                <w:szCs w:val="24"/>
                <w:lang w:val="en-GB" w:eastAsia="en-GB"/>
              </w:rPr>
              <w:t xml:space="preserve"> </w:t>
            </w:r>
            <w:r w:rsidR="00CB7E8D">
              <w:rPr>
                <w:rFonts w:ascii="Arial" w:hAnsi="Arial" w:cs="Arial"/>
                <w:sz w:val="24"/>
                <w:szCs w:val="24"/>
                <w:lang w:val="en-GB" w:eastAsia="en-GB"/>
              </w:rPr>
              <w:t>was</w:t>
            </w:r>
            <w:r w:rsidR="00854047" w:rsidRPr="00854047">
              <w:rPr>
                <w:rFonts w:ascii="Arial" w:hAnsi="Arial" w:cs="Arial"/>
                <w:sz w:val="24"/>
                <w:szCs w:val="24"/>
                <w:lang w:val="en-GB" w:eastAsia="en-GB"/>
              </w:rPr>
              <w:t xml:space="preserve"> transferred to </w:t>
            </w:r>
            <w:r>
              <w:rPr>
                <w:rFonts w:ascii="Arial" w:hAnsi="Arial" w:cs="Arial"/>
                <w:sz w:val="24"/>
                <w:szCs w:val="24"/>
                <w:lang w:val="en-GB" w:eastAsia="en-GB"/>
              </w:rPr>
              <w:t>Supplier.</w:t>
            </w:r>
            <w:r w:rsidR="00854047" w:rsidRPr="00854047">
              <w:rPr>
                <w:rFonts w:ascii="Arial" w:hAnsi="Arial" w:cs="Arial"/>
                <w:sz w:val="24"/>
                <w:szCs w:val="24"/>
                <w:lang w:val="en-GB" w:eastAsia="en-GB"/>
              </w:rPr>
              <w:t xml:space="preserve"> </w:t>
            </w:r>
          </w:p>
          <w:p w14:paraId="472EF354" w14:textId="77777777" w:rsidR="00854047" w:rsidRPr="00854047" w:rsidRDefault="00854047" w:rsidP="00854047">
            <w:pPr>
              <w:rPr>
                <w:rFonts w:ascii="Arial" w:hAnsi="Arial" w:cs="Arial"/>
                <w:sz w:val="24"/>
                <w:szCs w:val="24"/>
                <w:lang w:val="en-GB" w:eastAsia="en-GB"/>
              </w:rPr>
            </w:pPr>
          </w:p>
          <w:p w14:paraId="6F39C5D0" w14:textId="4D1AB2E5" w:rsidR="00854047" w:rsidRPr="00854047" w:rsidRDefault="00D76AE5" w:rsidP="00854047">
            <w:pPr>
              <w:rPr>
                <w:rFonts w:ascii="Arial" w:hAnsi="Arial" w:cs="Arial"/>
                <w:sz w:val="24"/>
                <w:szCs w:val="24"/>
                <w:lang w:val="en-GB" w:eastAsia="en-GB"/>
              </w:rPr>
            </w:pPr>
            <w:r>
              <w:rPr>
                <w:rFonts w:ascii="Arial" w:hAnsi="Arial" w:cs="Arial"/>
                <w:sz w:val="24"/>
                <w:szCs w:val="24"/>
                <w:lang w:val="en-GB" w:eastAsia="en-GB"/>
              </w:rPr>
              <w:t>R</w:t>
            </w:r>
            <w:r w:rsidR="00854047" w:rsidRPr="00854047">
              <w:rPr>
                <w:rFonts w:ascii="Arial" w:hAnsi="Arial" w:cs="Arial"/>
                <w:sz w:val="24"/>
                <w:szCs w:val="24"/>
                <w:lang w:val="en-GB" w:eastAsia="en-GB"/>
              </w:rPr>
              <w:t xml:space="preserve">isks </w:t>
            </w:r>
            <w:r>
              <w:rPr>
                <w:rFonts w:ascii="Arial" w:hAnsi="Arial" w:cs="Arial"/>
                <w:sz w:val="24"/>
                <w:szCs w:val="24"/>
                <w:lang w:val="en-GB" w:eastAsia="en-GB"/>
              </w:rPr>
              <w:t xml:space="preserve">should be transferred </w:t>
            </w:r>
            <w:r w:rsidR="00854047" w:rsidRPr="00854047">
              <w:rPr>
                <w:rFonts w:ascii="Arial" w:hAnsi="Arial" w:cs="Arial"/>
                <w:sz w:val="24"/>
                <w:szCs w:val="24"/>
                <w:lang w:val="en-GB" w:eastAsia="en-GB"/>
              </w:rPr>
              <w:t>to party best able to manage them</w:t>
            </w:r>
            <w:r>
              <w:rPr>
                <w:rFonts w:ascii="Arial" w:hAnsi="Arial" w:cs="Arial"/>
                <w:sz w:val="24"/>
                <w:szCs w:val="24"/>
                <w:lang w:val="en-GB" w:eastAsia="en-GB"/>
              </w:rPr>
              <w:t>.</w:t>
            </w:r>
            <w:r w:rsidR="00854047" w:rsidRPr="00854047">
              <w:rPr>
                <w:rFonts w:ascii="Arial" w:hAnsi="Arial" w:cs="Arial"/>
                <w:sz w:val="24"/>
                <w:szCs w:val="24"/>
                <w:lang w:val="en-GB" w:eastAsia="en-GB"/>
              </w:rPr>
              <w:t xml:space="preserve"> </w:t>
            </w:r>
          </w:p>
          <w:p w14:paraId="1666B6C6" w14:textId="0BB693A8" w:rsidR="00854047" w:rsidRDefault="00854047" w:rsidP="00854047">
            <w:pPr>
              <w:rPr>
                <w:rFonts w:ascii="Arial" w:hAnsi="Arial" w:cs="Arial"/>
                <w:sz w:val="24"/>
                <w:szCs w:val="24"/>
                <w:lang w:val="en-GB" w:eastAsia="en-GB"/>
              </w:rPr>
            </w:pPr>
          </w:p>
          <w:p w14:paraId="764B5106" w14:textId="15CA5738" w:rsidR="00797077" w:rsidRDefault="00797077" w:rsidP="00854047">
            <w:pPr>
              <w:rPr>
                <w:rFonts w:ascii="Arial" w:hAnsi="Arial" w:cs="Arial"/>
                <w:sz w:val="24"/>
                <w:szCs w:val="24"/>
                <w:lang w:val="en-GB" w:eastAsia="en-GB"/>
              </w:rPr>
            </w:pPr>
            <w:r>
              <w:rPr>
                <w:rFonts w:ascii="Arial" w:hAnsi="Arial" w:cs="Arial"/>
                <w:sz w:val="24"/>
                <w:szCs w:val="24"/>
                <w:lang w:val="en-GB" w:eastAsia="en-GB"/>
              </w:rPr>
              <w:t xml:space="preserve">Low likelihood but high impact risks </w:t>
            </w:r>
            <w:r w:rsidR="002D5592">
              <w:rPr>
                <w:rFonts w:ascii="Arial" w:hAnsi="Arial" w:cs="Arial"/>
                <w:sz w:val="24"/>
                <w:szCs w:val="24"/>
                <w:lang w:val="en-GB" w:eastAsia="en-GB"/>
              </w:rPr>
              <w:t xml:space="preserve">outside the control of the Supplier should be retained by </w:t>
            </w:r>
            <w:r w:rsidR="000876C2">
              <w:rPr>
                <w:rFonts w:ascii="Arial" w:hAnsi="Arial" w:cs="Arial"/>
                <w:sz w:val="24"/>
                <w:szCs w:val="24"/>
                <w:lang w:val="en-GB" w:eastAsia="en-GB"/>
              </w:rPr>
              <w:t>the Client or made subject to suitable</w:t>
            </w:r>
            <w:r w:rsidR="00AE588E">
              <w:rPr>
                <w:rFonts w:ascii="Arial" w:hAnsi="Arial" w:cs="Arial"/>
                <w:sz w:val="24"/>
                <w:szCs w:val="24"/>
                <w:lang w:val="en-GB" w:eastAsia="en-GB"/>
              </w:rPr>
              <w:t xml:space="preserve"> public </w:t>
            </w:r>
            <w:r w:rsidR="00E0199E">
              <w:rPr>
                <w:rFonts w:ascii="Arial" w:hAnsi="Arial" w:cs="Arial"/>
                <w:sz w:val="24"/>
                <w:szCs w:val="24"/>
                <w:lang w:val="en-GB" w:eastAsia="en-GB"/>
              </w:rPr>
              <w:t xml:space="preserve">guarantee or </w:t>
            </w:r>
            <w:r w:rsidR="000876C2">
              <w:rPr>
                <w:rFonts w:ascii="Arial" w:hAnsi="Arial" w:cs="Arial"/>
                <w:sz w:val="24"/>
                <w:szCs w:val="24"/>
                <w:lang w:val="en-GB" w:eastAsia="en-GB"/>
              </w:rPr>
              <w:t>indemnity.</w:t>
            </w:r>
          </w:p>
          <w:p w14:paraId="13BFB3CE" w14:textId="3C61A2D4" w:rsidR="00E27598" w:rsidRDefault="00E27598" w:rsidP="00854047">
            <w:pPr>
              <w:rPr>
                <w:rFonts w:ascii="Arial" w:hAnsi="Arial" w:cs="Arial"/>
                <w:sz w:val="24"/>
                <w:szCs w:val="24"/>
                <w:lang w:val="en-GB" w:eastAsia="en-GB"/>
              </w:rPr>
            </w:pPr>
          </w:p>
          <w:p w14:paraId="08B07350" w14:textId="10CD3A84" w:rsidR="00E27598" w:rsidRDefault="0011325A" w:rsidP="00854047">
            <w:pPr>
              <w:rPr>
                <w:rFonts w:ascii="Arial" w:hAnsi="Arial" w:cs="Arial"/>
                <w:sz w:val="24"/>
                <w:szCs w:val="24"/>
                <w:lang w:val="en-GB" w:eastAsia="en-GB"/>
              </w:rPr>
            </w:pPr>
            <w:r>
              <w:rPr>
                <w:rFonts w:ascii="Arial" w:hAnsi="Arial" w:cs="Arial"/>
                <w:sz w:val="24"/>
                <w:szCs w:val="24"/>
                <w:lang w:val="en-GB" w:eastAsia="en-GB"/>
              </w:rPr>
              <w:t xml:space="preserve">Risks outside the direct control of the Supplier </w:t>
            </w:r>
            <w:r w:rsidR="00717E1A">
              <w:rPr>
                <w:rFonts w:ascii="Arial" w:hAnsi="Arial" w:cs="Arial"/>
                <w:sz w:val="24"/>
                <w:szCs w:val="24"/>
                <w:lang w:val="en-GB" w:eastAsia="en-GB"/>
              </w:rPr>
              <w:t>but best managed by Supplier</w:t>
            </w:r>
            <w:r w:rsidR="00A4504E">
              <w:rPr>
                <w:rFonts w:ascii="Arial" w:hAnsi="Arial" w:cs="Arial"/>
                <w:sz w:val="24"/>
                <w:szCs w:val="24"/>
                <w:lang w:val="en-GB" w:eastAsia="en-GB"/>
              </w:rPr>
              <w:t xml:space="preserve">, should be covered contractual provisions </w:t>
            </w:r>
            <w:r w:rsidR="00710D28">
              <w:rPr>
                <w:rFonts w:ascii="Arial" w:hAnsi="Arial" w:cs="Arial"/>
                <w:sz w:val="24"/>
                <w:szCs w:val="24"/>
                <w:lang w:val="en-GB" w:eastAsia="en-GB"/>
              </w:rPr>
              <w:t>incenti</w:t>
            </w:r>
            <w:r w:rsidR="00B844C8">
              <w:rPr>
                <w:rFonts w:ascii="Arial" w:hAnsi="Arial" w:cs="Arial"/>
                <w:sz w:val="24"/>
                <w:szCs w:val="24"/>
                <w:lang w:val="en-GB" w:eastAsia="en-GB"/>
              </w:rPr>
              <w:t>vis</w:t>
            </w:r>
            <w:r w:rsidR="005A3362">
              <w:rPr>
                <w:rFonts w:ascii="Arial" w:hAnsi="Arial" w:cs="Arial"/>
                <w:sz w:val="24"/>
                <w:szCs w:val="24"/>
                <w:lang w:val="en-GB" w:eastAsia="en-GB"/>
              </w:rPr>
              <w:t>es</w:t>
            </w:r>
            <w:r w:rsidR="00B844C8">
              <w:rPr>
                <w:rFonts w:ascii="Arial" w:hAnsi="Arial" w:cs="Arial"/>
                <w:sz w:val="24"/>
                <w:szCs w:val="24"/>
                <w:lang w:val="en-GB" w:eastAsia="en-GB"/>
              </w:rPr>
              <w:t xml:space="preserve"> them to best manage the risk if it </w:t>
            </w:r>
            <w:r w:rsidR="00087E77">
              <w:rPr>
                <w:rFonts w:ascii="Arial" w:hAnsi="Arial" w:cs="Arial"/>
                <w:sz w:val="24"/>
                <w:szCs w:val="24"/>
                <w:lang w:val="en-GB" w:eastAsia="en-GB"/>
              </w:rPr>
              <w:t xml:space="preserve">emerges or occurs. </w:t>
            </w:r>
          </w:p>
          <w:p w14:paraId="2C4AA508" w14:textId="46A9FDE5" w:rsidR="0052248D" w:rsidRDefault="0052248D" w:rsidP="00854047">
            <w:pPr>
              <w:rPr>
                <w:rFonts w:ascii="Arial" w:hAnsi="Arial" w:cs="Arial"/>
                <w:sz w:val="24"/>
                <w:szCs w:val="24"/>
                <w:lang w:val="en-GB" w:eastAsia="en-GB"/>
              </w:rPr>
            </w:pPr>
          </w:p>
          <w:p w14:paraId="027E19CE" w14:textId="77777777" w:rsidR="0052248D" w:rsidRDefault="0052248D" w:rsidP="00854047">
            <w:pPr>
              <w:rPr>
                <w:rFonts w:ascii="Arial" w:hAnsi="Arial" w:cs="Arial"/>
                <w:sz w:val="24"/>
                <w:szCs w:val="24"/>
                <w:lang w:val="en-GB" w:eastAsia="en-GB"/>
              </w:rPr>
            </w:pPr>
          </w:p>
          <w:p w14:paraId="03A783EB" w14:textId="2A031780" w:rsidR="00E27598" w:rsidRDefault="0052248D" w:rsidP="00854047">
            <w:pPr>
              <w:rPr>
                <w:rFonts w:ascii="Arial" w:hAnsi="Arial" w:cs="Arial"/>
                <w:sz w:val="24"/>
                <w:szCs w:val="24"/>
                <w:lang w:val="en-GB" w:eastAsia="en-GB"/>
              </w:rPr>
            </w:pPr>
            <w:r w:rsidRPr="0052248D">
              <w:rPr>
                <w:rFonts w:ascii="Arial" w:hAnsi="Arial" w:cs="Arial"/>
                <w:sz w:val="24"/>
                <w:szCs w:val="24"/>
                <w:lang w:val="en-GB" w:eastAsia="en-GB"/>
              </w:rPr>
              <w:t>The sustainability of the contract and industry should b</w:t>
            </w:r>
            <w:r>
              <w:rPr>
                <w:rFonts w:ascii="Arial" w:hAnsi="Arial" w:cs="Arial"/>
                <w:sz w:val="24"/>
                <w:szCs w:val="24"/>
                <w:lang w:val="en-GB" w:eastAsia="en-GB"/>
              </w:rPr>
              <w:t>e</w:t>
            </w:r>
            <w:r w:rsidRPr="0052248D">
              <w:rPr>
                <w:rFonts w:ascii="Arial" w:hAnsi="Arial" w:cs="Arial"/>
                <w:sz w:val="24"/>
                <w:szCs w:val="24"/>
                <w:lang w:val="en-GB" w:eastAsia="en-GB"/>
              </w:rPr>
              <w:t xml:space="preserve"> consider</w:t>
            </w:r>
            <w:r>
              <w:rPr>
                <w:rFonts w:ascii="Arial" w:hAnsi="Arial" w:cs="Arial"/>
                <w:sz w:val="24"/>
                <w:szCs w:val="24"/>
                <w:lang w:val="en-GB" w:eastAsia="en-GB"/>
              </w:rPr>
              <w:t>e</w:t>
            </w:r>
            <w:r w:rsidRPr="0052248D">
              <w:rPr>
                <w:rFonts w:ascii="Arial" w:hAnsi="Arial" w:cs="Arial"/>
                <w:sz w:val="24"/>
                <w:szCs w:val="24"/>
                <w:lang w:val="en-GB" w:eastAsia="en-GB"/>
              </w:rPr>
              <w:t>d</w:t>
            </w:r>
            <w:r w:rsidR="003D3180">
              <w:rPr>
                <w:rFonts w:ascii="Arial" w:hAnsi="Arial" w:cs="Arial"/>
                <w:sz w:val="24"/>
                <w:szCs w:val="24"/>
                <w:lang w:val="en-GB" w:eastAsia="en-GB"/>
              </w:rPr>
              <w:t xml:space="preserve"> when setting pricing frameworks.</w:t>
            </w:r>
          </w:p>
          <w:p w14:paraId="74FA7BDF" w14:textId="77777777" w:rsidR="001A104F" w:rsidRDefault="001A104F" w:rsidP="00854047">
            <w:pPr>
              <w:rPr>
                <w:rFonts w:ascii="Arial" w:hAnsi="Arial" w:cs="Arial"/>
                <w:sz w:val="24"/>
                <w:szCs w:val="24"/>
                <w:lang w:val="en-GB" w:eastAsia="en-GB"/>
              </w:rPr>
            </w:pPr>
          </w:p>
          <w:p w14:paraId="68844AC7" w14:textId="77777777" w:rsidR="001A104F" w:rsidRDefault="001A104F" w:rsidP="00854047">
            <w:pPr>
              <w:rPr>
                <w:rFonts w:ascii="Arial" w:hAnsi="Arial" w:cs="Arial"/>
                <w:sz w:val="24"/>
                <w:szCs w:val="24"/>
                <w:lang w:val="en-GB" w:eastAsia="en-GB"/>
              </w:rPr>
            </w:pPr>
          </w:p>
          <w:p w14:paraId="068429D8" w14:textId="77777777" w:rsidR="001A104F" w:rsidRDefault="001A104F" w:rsidP="00854047">
            <w:pPr>
              <w:rPr>
                <w:rFonts w:ascii="Arial" w:hAnsi="Arial" w:cs="Arial"/>
                <w:sz w:val="24"/>
                <w:szCs w:val="24"/>
                <w:lang w:val="en-GB" w:eastAsia="en-GB"/>
              </w:rPr>
            </w:pPr>
          </w:p>
          <w:p w14:paraId="24548A68" w14:textId="1745FFB7" w:rsidR="00E27598" w:rsidRDefault="00087E77" w:rsidP="00854047">
            <w:pPr>
              <w:rPr>
                <w:rFonts w:ascii="Arial" w:hAnsi="Arial" w:cs="Arial"/>
                <w:sz w:val="24"/>
                <w:szCs w:val="24"/>
                <w:lang w:val="en-GB" w:eastAsia="en-GB"/>
              </w:rPr>
            </w:pPr>
            <w:r>
              <w:rPr>
                <w:rFonts w:ascii="Arial" w:hAnsi="Arial" w:cs="Arial"/>
                <w:sz w:val="24"/>
                <w:szCs w:val="24"/>
                <w:lang w:val="en-GB" w:eastAsia="en-GB"/>
              </w:rPr>
              <w:lastRenderedPageBreak/>
              <w:t>Correct and clear specification by the Client and fit-for purpose contractual and performance framework is key, whatever the contractual form adopted</w:t>
            </w:r>
            <w:r w:rsidR="00191CFD">
              <w:rPr>
                <w:rFonts w:ascii="Arial" w:hAnsi="Arial" w:cs="Arial"/>
                <w:sz w:val="24"/>
                <w:szCs w:val="24"/>
                <w:lang w:val="en-GB" w:eastAsia="en-GB"/>
              </w:rPr>
              <w:t>.</w:t>
            </w:r>
          </w:p>
          <w:p w14:paraId="11AE6406" w14:textId="77777777" w:rsidR="00E27598" w:rsidRPr="00854047" w:rsidRDefault="00E27598" w:rsidP="00854047">
            <w:pPr>
              <w:rPr>
                <w:rFonts w:ascii="Arial" w:hAnsi="Arial" w:cs="Arial"/>
                <w:sz w:val="24"/>
                <w:szCs w:val="24"/>
                <w:lang w:val="en-GB" w:eastAsia="en-GB"/>
              </w:rPr>
            </w:pPr>
          </w:p>
          <w:p w14:paraId="3AA86FF3" w14:textId="55D0F535" w:rsidR="00E66AF7" w:rsidRDefault="000A6FD5" w:rsidP="00854047">
            <w:pPr>
              <w:rPr>
                <w:rFonts w:ascii="Arial" w:hAnsi="Arial" w:cs="Arial"/>
                <w:sz w:val="24"/>
                <w:szCs w:val="24"/>
                <w:lang w:val="en-GB" w:eastAsia="en-GB"/>
              </w:rPr>
            </w:pPr>
            <w:r>
              <w:rPr>
                <w:rFonts w:ascii="Arial" w:hAnsi="Arial" w:cs="Arial"/>
                <w:sz w:val="24"/>
                <w:szCs w:val="24"/>
                <w:lang w:val="en-GB" w:eastAsia="en-GB"/>
              </w:rPr>
              <w:t>E</w:t>
            </w:r>
            <w:r w:rsidR="00E66AF7" w:rsidRPr="00E66AF7">
              <w:rPr>
                <w:rFonts w:ascii="Arial" w:hAnsi="Arial" w:cs="Arial"/>
                <w:sz w:val="24"/>
                <w:szCs w:val="24"/>
                <w:lang w:val="en-GB" w:eastAsia="en-GB"/>
              </w:rPr>
              <w:t>ffective transfer of operation risk is subject to the robustness of the Client’s contractual and performance framework and the contract management arrangements.</w:t>
            </w:r>
          </w:p>
          <w:p w14:paraId="5BB24877" w14:textId="77777777" w:rsidR="00A106DB" w:rsidRDefault="00A106DB" w:rsidP="00854047">
            <w:pPr>
              <w:rPr>
                <w:rFonts w:ascii="Arial" w:hAnsi="Arial" w:cs="Arial"/>
                <w:sz w:val="24"/>
                <w:szCs w:val="24"/>
                <w:lang w:val="en-GB" w:eastAsia="en-GB"/>
              </w:rPr>
            </w:pPr>
          </w:p>
          <w:p w14:paraId="17D1760C" w14:textId="77777777" w:rsidR="004A77AD" w:rsidRDefault="004A77AD" w:rsidP="00854047">
            <w:pPr>
              <w:rPr>
                <w:rFonts w:ascii="Arial" w:hAnsi="Arial" w:cs="Arial"/>
                <w:sz w:val="24"/>
                <w:szCs w:val="24"/>
                <w:lang w:val="en-GB" w:eastAsia="en-GB"/>
              </w:rPr>
            </w:pPr>
          </w:p>
          <w:p w14:paraId="79C7566D" w14:textId="77777777" w:rsidR="004A77AD" w:rsidRDefault="004A77AD" w:rsidP="00854047">
            <w:pPr>
              <w:rPr>
                <w:rFonts w:ascii="Arial" w:hAnsi="Arial" w:cs="Arial"/>
                <w:sz w:val="24"/>
                <w:szCs w:val="24"/>
                <w:lang w:val="en-GB" w:eastAsia="en-GB"/>
              </w:rPr>
            </w:pPr>
          </w:p>
          <w:p w14:paraId="3FDF8353" w14:textId="37E5C6BA" w:rsidR="004A77AD" w:rsidRDefault="004A77AD" w:rsidP="00854047">
            <w:pPr>
              <w:rPr>
                <w:rFonts w:ascii="Arial" w:hAnsi="Arial" w:cs="Arial"/>
                <w:sz w:val="24"/>
                <w:szCs w:val="24"/>
                <w:lang w:val="en-GB" w:eastAsia="en-GB"/>
              </w:rPr>
            </w:pPr>
          </w:p>
          <w:p w14:paraId="0505A876" w14:textId="451C7701" w:rsidR="00D64707" w:rsidRDefault="00D64707" w:rsidP="00854047">
            <w:pPr>
              <w:rPr>
                <w:rFonts w:ascii="Arial" w:hAnsi="Arial" w:cs="Arial"/>
                <w:sz w:val="24"/>
                <w:szCs w:val="24"/>
                <w:lang w:val="en-GB" w:eastAsia="en-GB"/>
              </w:rPr>
            </w:pPr>
          </w:p>
          <w:p w14:paraId="700E4DC8" w14:textId="6FCAEB7D" w:rsidR="00D64707" w:rsidRDefault="00D64707" w:rsidP="00854047">
            <w:pPr>
              <w:rPr>
                <w:rFonts w:ascii="Arial" w:hAnsi="Arial" w:cs="Arial"/>
                <w:sz w:val="24"/>
                <w:szCs w:val="24"/>
                <w:lang w:val="en-GB" w:eastAsia="en-GB"/>
              </w:rPr>
            </w:pPr>
          </w:p>
          <w:p w14:paraId="56B901BC" w14:textId="128475B9" w:rsidR="00D64707" w:rsidRDefault="00D64707" w:rsidP="00854047">
            <w:pPr>
              <w:rPr>
                <w:rFonts w:ascii="Arial" w:hAnsi="Arial" w:cs="Arial"/>
                <w:sz w:val="24"/>
                <w:szCs w:val="24"/>
                <w:lang w:val="en-GB" w:eastAsia="en-GB"/>
              </w:rPr>
            </w:pPr>
          </w:p>
          <w:p w14:paraId="7EA4E74F" w14:textId="174ACF3E" w:rsidR="00D64707" w:rsidRDefault="00D64707" w:rsidP="00854047">
            <w:pPr>
              <w:rPr>
                <w:rFonts w:ascii="Arial" w:hAnsi="Arial" w:cs="Arial"/>
                <w:sz w:val="24"/>
                <w:szCs w:val="24"/>
                <w:lang w:val="en-GB" w:eastAsia="en-GB"/>
              </w:rPr>
            </w:pPr>
          </w:p>
          <w:p w14:paraId="2BFD35A5" w14:textId="2BFFD6A8" w:rsidR="00D64707" w:rsidRDefault="00D64707" w:rsidP="00854047">
            <w:pPr>
              <w:rPr>
                <w:rFonts w:ascii="Arial" w:hAnsi="Arial" w:cs="Arial"/>
                <w:sz w:val="24"/>
                <w:szCs w:val="24"/>
                <w:lang w:val="en-GB" w:eastAsia="en-GB"/>
              </w:rPr>
            </w:pPr>
          </w:p>
          <w:p w14:paraId="10DAAB19" w14:textId="2FE29D2C" w:rsidR="00D64707" w:rsidRDefault="00D64707" w:rsidP="00854047">
            <w:pPr>
              <w:rPr>
                <w:rFonts w:ascii="Arial" w:hAnsi="Arial" w:cs="Arial"/>
                <w:sz w:val="24"/>
                <w:szCs w:val="24"/>
                <w:lang w:val="en-GB" w:eastAsia="en-GB"/>
              </w:rPr>
            </w:pPr>
          </w:p>
          <w:p w14:paraId="23B47894" w14:textId="5D828634" w:rsidR="00D64707" w:rsidRDefault="00D64707" w:rsidP="00854047">
            <w:pPr>
              <w:rPr>
                <w:rFonts w:ascii="Arial" w:hAnsi="Arial" w:cs="Arial"/>
                <w:sz w:val="24"/>
                <w:szCs w:val="24"/>
                <w:lang w:val="en-GB" w:eastAsia="en-GB"/>
              </w:rPr>
            </w:pPr>
          </w:p>
          <w:p w14:paraId="73635AD2" w14:textId="45A013A3" w:rsidR="00D64707" w:rsidRDefault="00D64707" w:rsidP="00854047">
            <w:pPr>
              <w:rPr>
                <w:rFonts w:ascii="Arial" w:hAnsi="Arial" w:cs="Arial"/>
                <w:sz w:val="24"/>
                <w:szCs w:val="24"/>
                <w:lang w:val="en-GB" w:eastAsia="en-GB"/>
              </w:rPr>
            </w:pPr>
          </w:p>
          <w:p w14:paraId="291E3D0B" w14:textId="77777777" w:rsidR="00D64707" w:rsidRDefault="00D64707" w:rsidP="00854047">
            <w:pPr>
              <w:rPr>
                <w:rFonts w:ascii="Arial" w:hAnsi="Arial" w:cs="Arial"/>
                <w:sz w:val="24"/>
                <w:szCs w:val="24"/>
                <w:lang w:val="en-GB" w:eastAsia="en-GB"/>
              </w:rPr>
            </w:pPr>
          </w:p>
          <w:p w14:paraId="1CA3B3FB" w14:textId="77777777" w:rsidR="004A77AD" w:rsidRDefault="004A77AD" w:rsidP="00854047">
            <w:pPr>
              <w:rPr>
                <w:rFonts w:ascii="Arial" w:hAnsi="Arial" w:cs="Arial"/>
                <w:sz w:val="24"/>
                <w:szCs w:val="24"/>
                <w:lang w:val="en-GB" w:eastAsia="en-GB"/>
              </w:rPr>
            </w:pPr>
          </w:p>
          <w:p w14:paraId="5B3AA633" w14:textId="77777777" w:rsidR="004A77AD" w:rsidRDefault="004A77AD" w:rsidP="00854047">
            <w:pPr>
              <w:rPr>
                <w:rFonts w:ascii="Arial" w:hAnsi="Arial" w:cs="Arial"/>
                <w:sz w:val="24"/>
                <w:szCs w:val="24"/>
                <w:lang w:val="en-GB" w:eastAsia="en-GB"/>
              </w:rPr>
            </w:pPr>
          </w:p>
          <w:p w14:paraId="5A5C3947" w14:textId="77777777" w:rsidR="004A77AD" w:rsidRDefault="004A77AD" w:rsidP="00854047">
            <w:pPr>
              <w:rPr>
                <w:rFonts w:ascii="Arial" w:hAnsi="Arial" w:cs="Arial"/>
                <w:sz w:val="24"/>
                <w:szCs w:val="24"/>
                <w:lang w:val="en-GB" w:eastAsia="en-GB"/>
              </w:rPr>
            </w:pPr>
          </w:p>
          <w:p w14:paraId="698B89F7" w14:textId="26490547" w:rsidR="00493896" w:rsidRDefault="00493896" w:rsidP="00854047">
            <w:pPr>
              <w:rPr>
                <w:rFonts w:ascii="Arial" w:hAnsi="Arial" w:cs="Arial"/>
                <w:sz w:val="24"/>
                <w:szCs w:val="24"/>
                <w:lang w:val="en-GB" w:eastAsia="en-GB"/>
              </w:rPr>
            </w:pPr>
            <w:r>
              <w:rPr>
                <w:rFonts w:ascii="Arial" w:hAnsi="Arial" w:cs="Arial"/>
                <w:sz w:val="24"/>
                <w:szCs w:val="24"/>
                <w:lang w:val="en-GB" w:eastAsia="en-GB"/>
              </w:rPr>
              <w:t xml:space="preserve">Expectation that PFI </w:t>
            </w:r>
            <w:r w:rsidR="003552C4">
              <w:rPr>
                <w:rFonts w:ascii="Arial" w:hAnsi="Arial" w:cs="Arial"/>
                <w:sz w:val="24"/>
                <w:szCs w:val="24"/>
                <w:lang w:val="en-GB" w:eastAsia="en-GB"/>
              </w:rPr>
              <w:t xml:space="preserve">would incentivise to provide asset in such a way to reduce long-term running costs and hence achieve whole-project-life </w:t>
            </w:r>
            <w:r w:rsidR="00A106DB">
              <w:rPr>
                <w:rFonts w:ascii="Arial" w:hAnsi="Arial" w:cs="Arial"/>
                <w:sz w:val="24"/>
                <w:szCs w:val="24"/>
                <w:lang w:val="en-GB" w:eastAsia="en-GB"/>
              </w:rPr>
              <w:t>vfm.</w:t>
            </w:r>
          </w:p>
          <w:p w14:paraId="734A4678" w14:textId="77777777" w:rsidR="00FB0DF3" w:rsidRDefault="00FB0DF3" w:rsidP="00854047">
            <w:pPr>
              <w:rPr>
                <w:rFonts w:ascii="Arial" w:hAnsi="Arial" w:cs="Arial"/>
                <w:sz w:val="24"/>
                <w:szCs w:val="24"/>
                <w:lang w:val="en-GB" w:eastAsia="en-GB"/>
              </w:rPr>
            </w:pPr>
          </w:p>
          <w:p w14:paraId="7D5CE976" w14:textId="77777777" w:rsidR="00D64707" w:rsidRDefault="00D64707" w:rsidP="005A3362">
            <w:pPr>
              <w:rPr>
                <w:rFonts w:ascii="Arial" w:hAnsi="Arial" w:cs="Arial"/>
                <w:sz w:val="24"/>
                <w:szCs w:val="24"/>
                <w:lang w:val="en-GB" w:eastAsia="en-GB"/>
              </w:rPr>
            </w:pPr>
          </w:p>
          <w:p w14:paraId="20885243" w14:textId="6FC834B2" w:rsidR="00854047" w:rsidRDefault="00087E77" w:rsidP="005A3362">
            <w:pPr>
              <w:rPr>
                <w:rFonts w:ascii="Arial" w:hAnsi="Arial" w:cs="Arial"/>
                <w:sz w:val="24"/>
                <w:szCs w:val="24"/>
                <w:lang w:val="en-GB" w:eastAsia="en-GB"/>
              </w:rPr>
            </w:pPr>
            <w:r>
              <w:rPr>
                <w:rFonts w:ascii="Arial" w:hAnsi="Arial" w:cs="Arial"/>
                <w:sz w:val="24"/>
                <w:szCs w:val="24"/>
                <w:lang w:val="en-GB" w:eastAsia="en-GB"/>
              </w:rPr>
              <w:t>Pr</w:t>
            </w:r>
            <w:r w:rsidR="00854047" w:rsidRPr="00854047">
              <w:rPr>
                <w:rFonts w:ascii="Arial" w:hAnsi="Arial" w:cs="Arial"/>
                <w:sz w:val="24"/>
                <w:szCs w:val="24"/>
                <w:lang w:val="en-GB" w:eastAsia="en-GB"/>
              </w:rPr>
              <w:t>ivate sector suppliers should be</w:t>
            </w:r>
            <w:r w:rsidR="00FD5043">
              <w:rPr>
                <w:rFonts w:ascii="Arial" w:hAnsi="Arial" w:cs="Arial"/>
                <w:sz w:val="24"/>
                <w:szCs w:val="24"/>
                <w:lang w:val="en-GB" w:eastAsia="en-GB"/>
              </w:rPr>
              <w:t xml:space="preserve">, but not necessarily are, </w:t>
            </w:r>
            <w:r w:rsidR="00854047" w:rsidRPr="00854047">
              <w:rPr>
                <w:rFonts w:ascii="Arial" w:hAnsi="Arial" w:cs="Arial"/>
                <w:sz w:val="24"/>
                <w:szCs w:val="24"/>
                <w:lang w:val="en-GB" w:eastAsia="en-GB"/>
              </w:rPr>
              <w:t>more X-efficient than public sector</w:t>
            </w:r>
            <w:r w:rsidR="00FB015E">
              <w:rPr>
                <w:rFonts w:ascii="Arial" w:hAnsi="Arial" w:cs="Arial"/>
                <w:sz w:val="24"/>
                <w:szCs w:val="24"/>
                <w:lang w:val="en-GB" w:eastAsia="en-GB"/>
              </w:rPr>
              <w:t xml:space="preserve"> counterparts:</w:t>
            </w:r>
            <w:r w:rsidR="00854047" w:rsidRPr="00854047">
              <w:rPr>
                <w:rFonts w:ascii="Arial" w:hAnsi="Arial" w:cs="Arial"/>
                <w:sz w:val="24"/>
                <w:szCs w:val="24"/>
                <w:lang w:val="en-GB" w:eastAsia="en-GB"/>
              </w:rPr>
              <w:t xml:space="preserve"> </w:t>
            </w:r>
            <w:r w:rsidR="00FD5043">
              <w:rPr>
                <w:rFonts w:ascii="Arial" w:hAnsi="Arial" w:cs="Arial"/>
                <w:sz w:val="24"/>
                <w:szCs w:val="24"/>
                <w:lang w:val="en-GB" w:eastAsia="en-GB"/>
              </w:rPr>
              <w:t>private sector has profit motive to</w:t>
            </w:r>
            <w:r w:rsidR="00854047" w:rsidRPr="00854047">
              <w:rPr>
                <w:rFonts w:ascii="Arial" w:hAnsi="Arial" w:cs="Arial"/>
                <w:sz w:val="24"/>
                <w:szCs w:val="24"/>
                <w:lang w:val="en-GB" w:eastAsia="en-GB"/>
              </w:rPr>
              <w:t xml:space="preserve"> respond to commercial pressures to minimise costs and maximise returns</w:t>
            </w:r>
            <w:r w:rsidR="00FD5043">
              <w:rPr>
                <w:rFonts w:ascii="Arial" w:hAnsi="Arial" w:cs="Arial"/>
                <w:sz w:val="24"/>
                <w:szCs w:val="24"/>
                <w:lang w:val="en-GB" w:eastAsia="en-GB"/>
              </w:rPr>
              <w:t xml:space="preserve"> if these are </w:t>
            </w:r>
            <w:r w:rsidR="005A675C">
              <w:rPr>
                <w:rFonts w:ascii="Arial" w:hAnsi="Arial" w:cs="Arial"/>
                <w:sz w:val="24"/>
                <w:szCs w:val="24"/>
                <w:lang w:val="en-GB" w:eastAsia="en-GB"/>
              </w:rPr>
              <w:t>set in the contract</w:t>
            </w:r>
            <w:r w:rsidR="00854047" w:rsidRPr="00854047">
              <w:rPr>
                <w:rFonts w:ascii="Arial" w:hAnsi="Arial" w:cs="Arial"/>
                <w:sz w:val="24"/>
                <w:szCs w:val="24"/>
                <w:lang w:val="en-GB" w:eastAsia="en-GB"/>
              </w:rPr>
              <w:t>.</w:t>
            </w:r>
          </w:p>
          <w:p w14:paraId="34703C29" w14:textId="77777777" w:rsidR="0052248D" w:rsidRDefault="0052248D" w:rsidP="005A3362">
            <w:pPr>
              <w:rPr>
                <w:rFonts w:ascii="Arial" w:hAnsi="Arial" w:cs="Arial"/>
                <w:sz w:val="24"/>
                <w:szCs w:val="24"/>
                <w:lang w:val="en-GB" w:eastAsia="en-GB"/>
              </w:rPr>
            </w:pPr>
          </w:p>
          <w:p w14:paraId="618C48F6" w14:textId="28C8A50A" w:rsidR="0052248D" w:rsidRPr="00854047" w:rsidRDefault="0052248D" w:rsidP="005A3362">
            <w:pPr>
              <w:rPr>
                <w:rFonts w:ascii="Arial" w:hAnsi="Arial" w:cs="Arial"/>
                <w:sz w:val="24"/>
                <w:szCs w:val="24"/>
                <w:lang w:val="en-GB" w:eastAsia="en-GB"/>
              </w:rPr>
            </w:pPr>
          </w:p>
        </w:tc>
        <w:tc>
          <w:tcPr>
            <w:tcW w:w="3622" w:type="dxa"/>
          </w:tcPr>
          <w:p w14:paraId="1BB9167C" w14:textId="2A6EF2EC" w:rsidR="00BB0A13" w:rsidRDefault="00280FC7" w:rsidP="00854047">
            <w:pPr>
              <w:rPr>
                <w:rFonts w:ascii="Arial" w:hAnsi="Arial" w:cs="Arial"/>
                <w:sz w:val="24"/>
                <w:szCs w:val="24"/>
                <w:lang w:val="en-GB" w:eastAsia="en-GB"/>
              </w:rPr>
            </w:pPr>
            <w:r>
              <w:rPr>
                <w:rFonts w:ascii="Arial" w:hAnsi="Arial" w:cs="Arial"/>
                <w:sz w:val="24"/>
                <w:szCs w:val="24"/>
                <w:lang w:val="en-GB" w:eastAsia="en-GB"/>
              </w:rPr>
              <w:lastRenderedPageBreak/>
              <w:t xml:space="preserve">NAO </w:t>
            </w:r>
            <w:r w:rsidR="001A54D4">
              <w:rPr>
                <w:rFonts w:ascii="Arial" w:hAnsi="Arial" w:cs="Arial"/>
                <w:sz w:val="24"/>
                <w:szCs w:val="24"/>
                <w:lang w:val="en-GB" w:eastAsia="en-GB"/>
              </w:rPr>
              <w:t>in 201</w:t>
            </w:r>
            <w:r w:rsidR="006067B0">
              <w:rPr>
                <w:rFonts w:ascii="Arial" w:hAnsi="Arial" w:cs="Arial"/>
                <w:sz w:val="24"/>
                <w:szCs w:val="24"/>
                <w:lang w:val="en-GB" w:eastAsia="en-GB"/>
              </w:rPr>
              <w:t xml:space="preserve">8 </w:t>
            </w:r>
            <w:r w:rsidR="001A54D4">
              <w:rPr>
                <w:rFonts w:ascii="Arial" w:hAnsi="Arial" w:cs="Arial"/>
                <w:sz w:val="24"/>
                <w:szCs w:val="24"/>
                <w:lang w:val="en-GB" w:eastAsia="en-GB"/>
              </w:rPr>
              <w:t>report</w:t>
            </w:r>
            <w:r w:rsidR="006067B0">
              <w:rPr>
                <w:rFonts w:ascii="Arial" w:hAnsi="Arial" w:cs="Arial"/>
                <w:sz w:val="24"/>
                <w:szCs w:val="24"/>
                <w:lang w:val="en-GB" w:eastAsia="en-GB"/>
              </w:rPr>
              <w:t>ed</w:t>
            </w:r>
            <w:r w:rsidR="001A54D4">
              <w:rPr>
                <w:rFonts w:ascii="Arial" w:hAnsi="Arial" w:cs="Arial"/>
                <w:sz w:val="24"/>
                <w:szCs w:val="24"/>
                <w:lang w:val="en-GB" w:eastAsia="en-GB"/>
              </w:rPr>
              <w:t xml:space="preserve"> some continuing evidence of greater price certainty under PFI</w:t>
            </w:r>
            <w:r w:rsidR="00BB0A13">
              <w:rPr>
                <w:rFonts w:ascii="Arial" w:hAnsi="Arial" w:cs="Arial"/>
                <w:sz w:val="24"/>
                <w:szCs w:val="24"/>
                <w:lang w:val="en-GB" w:eastAsia="en-GB"/>
              </w:rPr>
              <w:t>.</w:t>
            </w:r>
          </w:p>
          <w:p w14:paraId="70B81214" w14:textId="77777777" w:rsidR="00BB0A13" w:rsidRDefault="00BB0A13" w:rsidP="00854047">
            <w:pPr>
              <w:rPr>
                <w:rFonts w:ascii="Arial" w:hAnsi="Arial" w:cs="Arial"/>
                <w:sz w:val="24"/>
                <w:szCs w:val="24"/>
                <w:lang w:val="en-GB" w:eastAsia="en-GB"/>
              </w:rPr>
            </w:pPr>
          </w:p>
          <w:p w14:paraId="0FFA33E5" w14:textId="77777777" w:rsidR="001200E8" w:rsidRDefault="00BB0A13" w:rsidP="00854047">
            <w:pPr>
              <w:rPr>
                <w:rFonts w:ascii="Arial" w:hAnsi="Arial" w:cs="Arial"/>
                <w:sz w:val="24"/>
                <w:szCs w:val="24"/>
                <w:lang w:val="en-GB" w:eastAsia="en-GB"/>
              </w:rPr>
            </w:pPr>
            <w:r>
              <w:rPr>
                <w:rFonts w:ascii="Arial" w:hAnsi="Arial" w:cs="Arial"/>
                <w:sz w:val="24"/>
                <w:szCs w:val="24"/>
                <w:lang w:val="en-GB" w:eastAsia="en-GB"/>
              </w:rPr>
              <w:t>N</w:t>
            </w:r>
            <w:r w:rsidR="002F4A03">
              <w:rPr>
                <w:rFonts w:ascii="Arial" w:hAnsi="Arial" w:cs="Arial"/>
                <w:sz w:val="24"/>
                <w:szCs w:val="24"/>
                <w:lang w:val="en-GB" w:eastAsia="en-GB"/>
              </w:rPr>
              <w:t>et cost savings depend upon vfm of the fixed price</w:t>
            </w:r>
            <w:r w:rsidR="003863CB">
              <w:rPr>
                <w:rFonts w:ascii="Arial" w:hAnsi="Arial" w:cs="Arial"/>
                <w:sz w:val="24"/>
                <w:szCs w:val="24"/>
                <w:lang w:val="en-GB" w:eastAsia="en-GB"/>
              </w:rPr>
              <w:t xml:space="preserve"> set at the outset, however</w:t>
            </w:r>
            <w:r w:rsidR="002B01D0">
              <w:rPr>
                <w:rFonts w:ascii="Arial" w:hAnsi="Arial" w:cs="Arial"/>
                <w:sz w:val="24"/>
                <w:szCs w:val="24"/>
                <w:lang w:val="en-GB" w:eastAsia="en-GB"/>
              </w:rPr>
              <w:t>.</w:t>
            </w:r>
            <w:r w:rsidR="00E907B0">
              <w:rPr>
                <w:rFonts w:ascii="Arial" w:hAnsi="Arial" w:cs="Arial"/>
                <w:sz w:val="24"/>
                <w:szCs w:val="24"/>
                <w:lang w:val="en-GB" w:eastAsia="en-GB"/>
              </w:rPr>
              <w:t xml:space="preserve"> </w:t>
            </w:r>
          </w:p>
          <w:p w14:paraId="46F744C4" w14:textId="77777777" w:rsidR="001200E8" w:rsidRDefault="001200E8" w:rsidP="00854047">
            <w:pPr>
              <w:rPr>
                <w:rFonts w:ascii="Arial" w:hAnsi="Arial" w:cs="Arial"/>
                <w:sz w:val="24"/>
                <w:szCs w:val="24"/>
                <w:lang w:val="en-GB" w:eastAsia="en-GB"/>
              </w:rPr>
            </w:pPr>
          </w:p>
          <w:p w14:paraId="1516CD55" w14:textId="2B37DB79" w:rsidR="00E907B0" w:rsidRDefault="00572BE5" w:rsidP="00854047">
            <w:pPr>
              <w:rPr>
                <w:rFonts w:ascii="Arial" w:hAnsi="Arial" w:cs="Arial"/>
                <w:sz w:val="24"/>
                <w:szCs w:val="24"/>
                <w:lang w:val="en-GB" w:eastAsia="en-GB"/>
              </w:rPr>
            </w:pPr>
            <w:r>
              <w:rPr>
                <w:rFonts w:ascii="Arial" w:hAnsi="Arial" w:cs="Arial"/>
                <w:sz w:val="24"/>
                <w:szCs w:val="24"/>
                <w:lang w:val="en-GB" w:eastAsia="en-GB"/>
              </w:rPr>
              <w:t>PSC</w:t>
            </w:r>
            <w:r w:rsidR="001200E8">
              <w:rPr>
                <w:rFonts w:ascii="Arial" w:hAnsi="Arial" w:cs="Arial"/>
                <w:sz w:val="24"/>
                <w:szCs w:val="24"/>
                <w:lang w:val="en-GB" w:eastAsia="en-GB"/>
              </w:rPr>
              <w:t xml:space="preserve"> bias towards</w:t>
            </w:r>
            <w:r w:rsidR="006E76FD">
              <w:rPr>
                <w:rFonts w:ascii="Arial" w:hAnsi="Arial" w:cs="Arial"/>
                <w:sz w:val="24"/>
                <w:szCs w:val="24"/>
                <w:lang w:val="en-GB" w:eastAsia="en-GB"/>
              </w:rPr>
              <w:t xml:space="preserve"> </w:t>
            </w:r>
            <w:r w:rsidR="00CA1D82">
              <w:rPr>
                <w:rFonts w:ascii="Arial" w:hAnsi="Arial" w:cs="Arial"/>
                <w:sz w:val="24"/>
                <w:szCs w:val="24"/>
                <w:lang w:val="en-GB" w:eastAsia="en-GB"/>
              </w:rPr>
              <w:t xml:space="preserve">selection of </w:t>
            </w:r>
            <w:r w:rsidR="006E76FD">
              <w:rPr>
                <w:rFonts w:ascii="Arial" w:hAnsi="Arial" w:cs="Arial"/>
                <w:sz w:val="24"/>
                <w:szCs w:val="24"/>
                <w:lang w:val="en-GB" w:eastAsia="en-GB"/>
              </w:rPr>
              <w:t>PFI</w:t>
            </w:r>
            <w:r w:rsidR="00425897">
              <w:rPr>
                <w:rFonts w:ascii="Arial" w:hAnsi="Arial" w:cs="Arial"/>
                <w:sz w:val="24"/>
                <w:szCs w:val="24"/>
                <w:lang w:val="en-GB" w:eastAsia="en-GB"/>
              </w:rPr>
              <w:t xml:space="preserve"> due to operation of fiscal rules.</w:t>
            </w:r>
            <w:r>
              <w:rPr>
                <w:rFonts w:ascii="Arial" w:hAnsi="Arial" w:cs="Arial"/>
                <w:sz w:val="24"/>
                <w:szCs w:val="24"/>
                <w:lang w:val="en-GB" w:eastAsia="en-GB"/>
              </w:rPr>
              <w:t xml:space="preserve"> </w:t>
            </w:r>
          </w:p>
          <w:p w14:paraId="11C4F366" w14:textId="77777777" w:rsidR="00E907B0" w:rsidRDefault="00E907B0" w:rsidP="00854047"/>
          <w:p w14:paraId="1F397A01" w14:textId="50724250" w:rsidR="00D331AB" w:rsidRDefault="00425897" w:rsidP="00854047">
            <w:pPr>
              <w:rPr>
                <w:rFonts w:ascii="Arial" w:hAnsi="Arial" w:cs="Arial"/>
                <w:sz w:val="24"/>
                <w:szCs w:val="24"/>
                <w:lang w:val="en-GB" w:eastAsia="en-GB"/>
              </w:rPr>
            </w:pPr>
            <w:r>
              <w:rPr>
                <w:rFonts w:ascii="Arial" w:hAnsi="Arial" w:cs="Arial"/>
                <w:sz w:val="24"/>
                <w:szCs w:val="24"/>
                <w:lang w:val="en-GB" w:eastAsia="en-GB"/>
              </w:rPr>
              <w:t>C</w:t>
            </w:r>
            <w:r w:rsidR="002B01D0">
              <w:rPr>
                <w:rFonts w:ascii="Arial" w:hAnsi="Arial" w:cs="Arial"/>
                <w:sz w:val="24"/>
                <w:szCs w:val="24"/>
                <w:lang w:val="en-GB" w:eastAsia="en-GB"/>
              </w:rPr>
              <w:t xml:space="preserve">onstruction and operation </w:t>
            </w:r>
            <w:r w:rsidR="00854047" w:rsidRPr="00854047">
              <w:rPr>
                <w:rFonts w:ascii="Arial" w:hAnsi="Arial" w:cs="Arial"/>
                <w:sz w:val="24"/>
                <w:szCs w:val="24"/>
                <w:lang w:val="en-GB" w:eastAsia="en-GB"/>
              </w:rPr>
              <w:t>risk</w:t>
            </w:r>
            <w:r w:rsidR="00D46C72">
              <w:rPr>
                <w:rFonts w:ascii="Arial" w:hAnsi="Arial" w:cs="Arial"/>
                <w:sz w:val="24"/>
                <w:szCs w:val="24"/>
                <w:lang w:val="en-GB" w:eastAsia="en-GB"/>
              </w:rPr>
              <w:t>s</w:t>
            </w:r>
            <w:r w:rsidR="003F1173">
              <w:rPr>
                <w:rFonts w:ascii="Arial" w:hAnsi="Arial" w:cs="Arial"/>
                <w:sz w:val="24"/>
                <w:szCs w:val="24"/>
                <w:lang w:val="en-GB" w:eastAsia="en-GB"/>
              </w:rPr>
              <w:t xml:space="preserve"> were</w:t>
            </w:r>
            <w:r w:rsidR="00854047" w:rsidRPr="00854047">
              <w:rPr>
                <w:rFonts w:ascii="Arial" w:hAnsi="Arial" w:cs="Arial"/>
                <w:sz w:val="24"/>
                <w:szCs w:val="24"/>
                <w:lang w:val="en-GB" w:eastAsia="en-GB"/>
              </w:rPr>
              <w:t xml:space="preserve"> </w:t>
            </w:r>
            <w:r w:rsidR="00034E37">
              <w:rPr>
                <w:rFonts w:ascii="Arial" w:hAnsi="Arial" w:cs="Arial"/>
                <w:sz w:val="24"/>
                <w:szCs w:val="24"/>
                <w:lang w:val="en-GB" w:eastAsia="en-GB"/>
              </w:rPr>
              <w:t xml:space="preserve">invariably </w:t>
            </w:r>
            <w:r w:rsidR="00854047" w:rsidRPr="00854047">
              <w:rPr>
                <w:rFonts w:ascii="Arial" w:hAnsi="Arial" w:cs="Arial"/>
                <w:sz w:val="24"/>
                <w:szCs w:val="24"/>
                <w:lang w:val="en-GB" w:eastAsia="en-GB"/>
              </w:rPr>
              <w:t>priced</w:t>
            </w:r>
            <w:r w:rsidR="00034E37">
              <w:rPr>
                <w:rFonts w:ascii="Arial" w:hAnsi="Arial" w:cs="Arial"/>
                <w:sz w:val="24"/>
                <w:szCs w:val="24"/>
                <w:lang w:val="en-GB" w:eastAsia="en-GB"/>
              </w:rPr>
              <w:t>-i</w:t>
            </w:r>
            <w:r w:rsidR="00280FC7">
              <w:rPr>
                <w:rFonts w:ascii="Arial" w:hAnsi="Arial" w:cs="Arial"/>
                <w:sz w:val="24"/>
                <w:szCs w:val="24"/>
                <w:lang w:val="en-GB" w:eastAsia="en-GB"/>
              </w:rPr>
              <w:t>n</w:t>
            </w:r>
            <w:r w:rsidR="00854047" w:rsidRPr="00854047">
              <w:rPr>
                <w:rFonts w:ascii="Arial" w:hAnsi="Arial" w:cs="Arial"/>
                <w:sz w:val="24"/>
                <w:szCs w:val="24"/>
                <w:lang w:val="en-GB" w:eastAsia="en-GB"/>
              </w:rPr>
              <w:t xml:space="preserve"> by PFI</w:t>
            </w:r>
            <w:r w:rsidR="003F1173">
              <w:rPr>
                <w:rFonts w:ascii="Arial" w:hAnsi="Arial" w:cs="Arial"/>
                <w:sz w:val="24"/>
                <w:szCs w:val="24"/>
                <w:lang w:val="en-GB" w:eastAsia="en-GB"/>
              </w:rPr>
              <w:t xml:space="preserve"> Suppliers</w:t>
            </w:r>
            <w:r w:rsidR="002B01D0">
              <w:rPr>
                <w:rFonts w:ascii="Arial" w:hAnsi="Arial" w:cs="Arial"/>
                <w:sz w:val="24"/>
                <w:szCs w:val="24"/>
                <w:lang w:val="en-GB" w:eastAsia="en-GB"/>
              </w:rPr>
              <w:t>, often</w:t>
            </w:r>
            <w:r w:rsidR="009E6A4A">
              <w:rPr>
                <w:rFonts w:ascii="Arial" w:hAnsi="Arial" w:cs="Arial"/>
                <w:sz w:val="24"/>
                <w:szCs w:val="24"/>
                <w:lang w:val="en-GB" w:eastAsia="en-GB"/>
              </w:rPr>
              <w:t xml:space="preserve"> to the point where the client </w:t>
            </w:r>
            <w:r w:rsidR="006A0C79">
              <w:rPr>
                <w:rFonts w:ascii="Arial" w:hAnsi="Arial" w:cs="Arial"/>
                <w:sz w:val="24"/>
                <w:szCs w:val="24"/>
                <w:lang w:val="en-GB" w:eastAsia="en-GB"/>
              </w:rPr>
              <w:t>over-paid</w:t>
            </w:r>
            <w:r w:rsidR="00894287">
              <w:rPr>
                <w:rFonts w:ascii="Arial" w:hAnsi="Arial" w:cs="Arial"/>
                <w:sz w:val="24"/>
                <w:szCs w:val="24"/>
                <w:lang w:val="en-GB" w:eastAsia="en-GB"/>
              </w:rPr>
              <w:t>,</w:t>
            </w:r>
            <w:r w:rsidR="00CC2F3C">
              <w:rPr>
                <w:rFonts w:ascii="Arial" w:hAnsi="Arial" w:cs="Arial"/>
                <w:sz w:val="24"/>
                <w:szCs w:val="24"/>
                <w:lang w:val="en-GB" w:eastAsia="en-GB"/>
              </w:rPr>
              <w:t xml:space="preserve"> evidenced by some PFI projects, </w:t>
            </w:r>
            <w:r w:rsidR="00007FF3">
              <w:rPr>
                <w:rFonts w:ascii="Arial" w:hAnsi="Arial" w:cs="Arial"/>
                <w:sz w:val="24"/>
                <w:szCs w:val="24"/>
                <w:lang w:val="en-GB" w:eastAsia="en-GB"/>
              </w:rPr>
              <w:t xml:space="preserve">providing super-returns to equity-owners: </w:t>
            </w:r>
            <w:r w:rsidR="00282BF2">
              <w:rPr>
                <w:rFonts w:ascii="Arial" w:hAnsi="Arial" w:cs="Arial"/>
                <w:sz w:val="24"/>
                <w:szCs w:val="24"/>
                <w:lang w:val="en-GB" w:eastAsia="en-GB"/>
              </w:rPr>
              <w:t xml:space="preserve">some SPV owners, however, </w:t>
            </w:r>
            <w:r w:rsidR="00293826">
              <w:rPr>
                <w:rFonts w:ascii="Arial" w:hAnsi="Arial" w:cs="Arial"/>
                <w:sz w:val="24"/>
                <w:szCs w:val="24"/>
                <w:lang w:val="en-GB" w:eastAsia="en-GB"/>
              </w:rPr>
              <w:t xml:space="preserve">such as Jarvis, took losses </w:t>
            </w:r>
            <w:r w:rsidR="003863CB">
              <w:rPr>
                <w:rFonts w:ascii="Arial" w:hAnsi="Arial" w:cs="Arial"/>
                <w:sz w:val="24"/>
                <w:szCs w:val="24"/>
                <w:lang w:val="en-GB" w:eastAsia="en-GB"/>
              </w:rPr>
              <w:t>on some contracts (</w:t>
            </w:r>
            <w:r w:rsidR="004B35A7">
              <w:rPr>
                <w:rFonts w:ascii="Arial" w:hAnsi="Arial" w:cs="Arial"/>
                <w:sz w:val="24"/>
                <w:szCs w:val="24"/>
                <w:lang w:val="en-GB" w:eastAsia="en-GB"/>
              </w:rPr>
              <w:t>e.g.</w:t>
            </w:r>
            <w:r w:rsidR="003863CB">
              <w:rPr>
                <w:rFonts w:ascii="Arial" w:hAnsi="Arial" w:cs="Arial"/>
                <w:sz w:val="24"/>
                <w:szCs w:val="24"/>
                <w:lang w:val="en-GB" w:eastAsia="en-GB"/>
              </w:rPr>
              <w:t xml:space="preserve"> Wellington Hospital) </w:t>
            </w:r>
            <w:r w:rsidR="00293826">
              <w:rPr>
                <w:rFonts w:ascii="Arial" w:hAnsi="Arial" w:cs="Arial"/>
                <w:sz w:val="24"/>
                <w:szCs w:val="24"/>
                <w:lang w:val="en-GB" w:eastAsia="en-GB"/>
              </w:rPr>
              <w:t>and exited</w:t>
            </w:r>
            <w:r w:rsidR="003A5542">
              <w:rPr>
                <w:rFonts w:ascii="Arial" w:hAnsi="Arial" w:cs="Arial"/>
                <w:sz w:val="24"/>
                <w:szCs w:val="24"/>
                <w:lang w:val="en-GB" w:eastAsia="en-GB"/>
              </w:rPr>
              <w:t xml:space="preserve"> market</w:t>
            </w:r>
            <w:r w:rsidR="00293826">
              <w:rPr>
                <w:rFonts w:ascii="Arial" w:hAnsi="Arial" w:cs="Arial"/>
                <w:sz w:val="24"/>
                <w:szCs w:val="24"/>
                <w:lang w:val="en-GB" w:eastAsia="en-GB"/>
              </w:rPr>
              <w:t>.</w:t>
            </w:r>
          </w:p>
          <w:p w14:paraId="4C212DC2" w14:textId="77777777" w:rsidR="00293826" w:rsidRDefault="00293826" w:rsidP="00854047">
            <w:pPr>
              <w:rPr>
                <w:rFonts w:ascii="Arial" w:hAnsi="Arial" w:cs="Arial"/>
                <w:sz w:val="24"/>
                <w:szCs w:val="24"/>
                <w:lang w:val="en-GB" w:eastAsia="en-GB"/>
              </w:rPr>
            </w:pPr>
          </w:p>
          <w:p w14:paraId="5057A7BE" w14:textId="20144B14" w:rsidR="00D331AB" w:rsidRDefault="00581BE4" w:rsidP="00854047">
            <w:pPr>
              <w:rPr>
                <w:rFonts w:ascii="Arial" w:hAnsi="Arial" w:cs="Arial"/>
                <w:sz w:val="24"/>
                <w:szCs w:val="24"/>
                <w:lang w:val="en-GB" w:eastAsia="en-GB"/>
              </w:rPr>
            </w:pPr>
            <w:r>
              <w:rPr>
                <w:rFonts w:ascii="Arial" w:hAnsi="Arial" w:cs="Arial"/>
                <w:sz w:val="24"/>
                <w:szCs w:val="24"/>
                <w:lang w:val="en-GB" w:eastAsia="en-GB"/>
              </w:rPr>
              <w:t xml:space="preserve">Problem compounded </w:t>
            </w:r>
            <w:r w:rsidR="007178F4">
              <w:rPr>
                <w:rFonts w:ascii="Arial" w:hAnsi="Arial" w:cs="Arial"/>
                <w:sz w:val="24"/>
                <w:szCs w:val="24"/>
                <w:lang w:val="en-GB" w:eastAsia="en-GB"/>
              </w:rPr>
              <w:t>with</w:t>
            </w:r>
            <w:r w:rsidR="00D331AB">
              <w:rPr>
                <w:rFonts w:ascii="Arial" w:hAnsi="Arial" w:cs="Arial"/>
                <w:sz w:val="24"/>
                <w:szCs w:val="24"/>
                <w:lang w:val="en-GB" w:eastAsia="en-GB"/>
              </w:rPr>
              <w:t xml:space="preserve"> risk</w:t>
            </w:r>
            <w:r w:rsidR="004734F0">
              <w:rPr>
                <w:rFonts w:ascii="Arial" w:hAnsi="Arial" w:cs="Arial"/>
                <w:sz w:val="24"/>
                <w:szCs w:val="24"/>
                <w:lang w:val="en-GB" w:eastAsia="en-GB"/>
              </w:rPr>
              <w:t xml:space="preserve"> allocations</w:t>
            </w:r>
            <w:r w:rsidR="00D331AB">
              <w:rPr>
                <w:rFonts w:ascii="Arial" w:hAnsi="Arial" w:cs="Arial"/>
                <w:sz w:val="24"/>
                <w:szCs w:val="24"/>
                <w:lang w:val="en-GB" w:eastAsia="en-GB"/>
              </w:rPr>
              <w:t xml:space="preserve"> </w:t>
            </w:r>
            <w:r w:rsidR="007178F4">
              <w:rPr>
                <w:rFonts w:ascii="Arial" w:hAnsi="Arial" w:cs="Arial"/>
                <w:sz w:val="24"/>
                <w:szCs w:val="24"/>
                <w:lang w:val="en-GB" w:eastAsia="en-GB"/>
              </w:rPr>
              <w:t xml:space="preserve">that </w:t>
            </w:r>
            <w:r w:rsidR="00D331AB">
              <w:rPr>
                <w:rFonts w:ascii="Arial" w:hAnsi="Arial" w:cs="Arial"/>
                <w:sz w:val="24"/>
                <w:szCs w:val="24"/>
                <w:lang w:val="en-GB" w:eastAsia="en-GB"/>
              </w:rPr>
              <w:t>the Supplier c</w:t>
            </w:r>
            <w:r w:rsidR="005240C6">
              <w:rPr>
                <w:rFonts w:ascii="Arial" w:hAnsi="Arial" w:cs="Arial"/>
                <w:sz w:val="24"/>
                <w:szCs w:val="24"/>
                <w:lang w:val="en-GB" w:eastAsia="en-GB"/>
              </w:rPr>
              <w:t>annot</w:t>
            </w:r>
            <w:r w:rsidR="00D331AB">
              <w:rPr>
                <w:rFonts w:ascii="Arial" w:hAnsi="Arial" w:cs="Arial"/>
                <w:sz w:val="24"/>
                <w:szCs w:val="24"/>
                <w:lang w:val="en-GB" w:eastAsia="en-GB"/>
              </w:rPr>
              <w:t xml:space="preserve"> not manage</w:t>
            </w:r>
            <w:r w:rsidR="00A02F10">
              <w:rPr>
                <w:rFonts w:ascii="Arial" w:hAnsi="Arial" w:cs="Arial"/>
                <w:sz w:val="24"/>
                <w:szCs w:val="24"/>
                <w:lang w:val="en-GB" w:eastAsia="en-GB"/>
              </w:rPr>
              <w:t>, as well as control.</w:t>
            </w:r>
          </w:p>
          <w:p w14:paraId="7C782477" w14:textId="275973DA" w:rsidR="009E6A4A" w:rsidRDefault="009E6A4A" w:rsidP="00854047">
            <w:pPr>
              <w:rPr>
                <w:rFonts w:ascii="Arial" w:hAnsi="Arial" w:cs="Arial"/>
                <w:sz w:val="24"/>
                <w:szCs w:val="24"/>
                <w:lang w:val="en-GB" w:eastAsia="en-GB"/>
              </w:rPr>
            </w:pPr>
          </w:p>
          <w:p w14:paraId="289D60F2" w14:textId="51C007E2" w:rsidR="00280FC7" w:rsidRDefault="00572BE5" w:rsidP="00854047">
            <w:pPr>
              <w:rPr>
                <w:rFonts w:ascii="Arial" w:hAnsi="Arial" w:cs="Arial"/>
                <w:sz w:val="24"/>
                <w:szCs w:val="24"/>
                <w:lang w:val="en-GB" w:eastAsia="en-GB"/>
              </w:rPr>
            </w:pPr>
            <w:r w:rsidRPr="00572BE5">
              <w:rPr>
                <w:rFonts w:ascii="Arial" w:hAnsi="Arial" w:cs="Arial"/>
                <w:sz w:val="24"/>
                <w:szCs w:val="24"/>
                <w:lang w:val="en-GB" w:eastAsia="en-GB"/>
              </w:rPr>
              <w:t xml:space="preserve">Problem with fixed-price contracts generally is that risk is either tend to be over- or under-priced. This </w:t>
            </w:r>
            <w:r w:rsidR="00B87293">
              <w:rPr>
                <w:rFonts w:ascii="Arial" w:hAnsi="Arial" w:cs="Arial"/>
                <w:sz w:val="24"/>
                <w:szCs w:val="24"/>
                <w:lang w:val="en-GB" w:eastAsia="en-GB"/>
              </w:rPr>
              <w:t>can be</w:t>
            </w:r>
            <w:r w:rsidRPr="00572BE5">
              <w:rPr>
                <w:rFonts w:ascii="Arial" w:hAnsi="Arial" w:cs="Arial"/>
                <w:sz w:val="24"/>
                <w:szCs w:val="24"/>
                <w:lang w:val="en-GB" w:eastAsia="en-GB"/>
              </w:rPr>
              <w:t xml:space="preserve"> applicable to PPP’s</w:t>
            </w:r>
            <w:r w:rsidR="00B87293">
              <w:rPr>
                <w:rFonts w:ascii="Arial" w:hAnsi="Arial" w:cs="Arial"/>
                <w:sz w:val="24"/>
                <w:szCs w:val="24"/>
                <w:lang w:val="en-GB" w:eastAsia="en-GB"/>
              </w:rPr>
              <w:t xml:space="preserve"> and directly procured contracts</w:t>
            </w:r>
            <w:r w:rsidRPr="00572BE5">
              <w:rPr>
                <w:rFonts w:ascii="Arial" w:hAnsi="Arial" w:cs="Arial"/>
                <w:sz w:val="24"/>
                <w:szCs w:val="24"/>
                <w:lang w:val="en-GB" w:eastAsia="en-GB"/>
              </w:rPr>
              <w:t>.</w:t>
            </w:r>
            <w:r w:rsidR="00F97F80">
              <w:rPr>
                <w:rFonts w:ascii="Arial" w:hAnsi="Arial" w:cs="Arial"/>
                <w:sz w:val="24"/>
                <w:szCs w:val="24"/>
                <w:lang w:val="en-GB" w:eastAsia="en-GB"/>
              </w:rPr>
              <w:t xml:space="preserve"> </w:t>
            </w:r>
          </w:p>
          <w:p w14:paraId="434AABBF" w14:textId="23B45CF3" w:rsidR="00EE0636" w:rsidRDefault="00EE0636" w:rsidP="00854047">
            <w:pPr>
              <w:rPr>
                <w:rFonts w:ascii="Arial" w:hAnsi="Arial" w:cs="Arial"/>
                <w:sz w:val="24"/>
                <w:szCs w:val="24"/>
                <w:lang w:val="en-GB" w:eastAsia="en-GB"/>
              </w:rPr>
            </w:pPr>
          </w:p>
          <w:p w14:paraId="3FE9CFC0" w14:textId="77777777" w:rsidR="006304F3" w:rsidRPr="006304F3" w:rsidRDefault="006304F3" w:rsidP="006304F3">
            <w:pPr>
              <w:rPr>
                <w:rFonts w:ascii="Arial" w:hAnsi="Arial" w:cs="Arial"/>
                <w:sz w:val="24"/>
                <w:szCs w:val="24"/>
                <w:lang w:val="en-GB" w:eastAsia="en-GB"/>
              </w:rPr>
            </w:pPr>
            <w:r w:rsidRPr="006304F3">
              <w:rPr>
                <w:rFonts w:ascii="Arial" w:hAnsi="Arial" w:cs="Arial"/>
                <w:sz w:val="24"/>
                <w:szCs w:val="24"/>
                <w:lang w:val="en-GB" w:eastAsia="en-GB"/>
              </w:rPr>
              <w:t>Increased risk of default/bankruptcy or/lack of market sustainability.</w:t>
            </w:r>
          </w:p>
          <w:p w14:paraId="595EABC5" w14:textId="77777777" w:rsidR="006304F3" w:rsidRDefault="006304F3" w:rsidP="00854047">
            <w:pPr>
              <w:rPr>
                <w:rFonts w:ascii="Arial" w:hAnsi="Arial" w:cs="Arial"/>
                <w:sz w:val="24"/>
                <w:szCs w:val="24"/>
                <w:lang w:val="en-GB" w:eastAsia="en-GB"/>
              </w:rPr>
            </w:pPr>
          </w:p>
          <w:p w14:paraId="3CA38765" w14:textId="25977B99" w:rsidR="006304F3" w:rsidRDefault="007557AE" w:rsidP="00854047">
            <w:pPr>
              <w:rPr>
                <w:rFonts w:ascii="Arial" w:hAnsi="Arial" w:cs="Arial"/>
                <w:sz w:val="24"/>
                <w:szCs w:val="24"/>
                <w:lang w:val="en-GB" w:eastAsia="en-GB"/>
              </w:rPr>
            </w:pPr>
            <w:r>
              <w:rPr>
                <w:rFonts w:ascii="Arial" w:hAnsi="Arial" w:cs="Arial"/>
                <w:sz w:val="24"/>
                <w:szCs w:val="24"/>
                <w:lang w:val="en-GB" w:eastAsia="en-GB"/>
              </w:rPr>
              <w:lastRenderedPageBreak/>
              <w:t xml:space="preserve">Possible </w:t>
            </w:r>
            <w:r w:rsidR="00544A8A">
              <w:rPr>
                <w:rFonts w:ascii="Arial" w:hAnsi="Arial" w:cs="Arial"/>
                <w:sz w:val="24"/>
                <w:szCs w:val="24"/>
                <w:lang w:val="en-GB" w:eastAsia="en-GB"/>
              </w:rPr>
              <w:t>Profit-share</w:t>
            </w:r>
            <w:r w:rsidR="00983BBD">
              <w:rPr>
                <w:rFonts w:ascii="Arial" w:hAnsi="Arial" w:cs="Arial"/>
                <w:sz w:val="24"/>
                <w:szCs w:val="24"/>
                <w:lang w:val="en-GB" w:eastAsia="en-GB"/>
              </w:rPr>
              <w:t xml:space="preserve"> mechanisms</w:t>
            </w:r>
            <w:r w:rsidR="00544A8A">
              <w:rPr>
                <w:rFonts w:ascii="Arial" w:hAnsi="Arial" w:cs="Arial"/>
                <w:sz w:val="24"/>
                <w:szCs w:val="24"/>
                <w:lang w:val="en-GB" w:eastAsia="en-GB"/>
              </w:rPr>
              <w:t xml:space="preserve"> linked to the achievement of financial and </w:t>
            </w:r>
            <w:r w:rsidR="006E7A0B">
              <w:rPr>
                <w:rFonts w:ascii="Arial" w:hAnsi="Arial" w:cs="Arial"/>
                <w:sz w:val="24"/>
                <w:szCs w:val="24"/>
                <w:lang w:val="en-GB" w:eastAsia="en-GB"/>
              </w:rPr>
              <w:t>service requirements.</w:t>
            </w:r>
          </w:p>
          <w:p w14:paraId="63342A4E" w14:textId="0C1C8192" w:rsidR="00544A8A" w:rsidRDefault="006E7A0B" w:rsidP="00854047">
            <w:pPr>
              <w:rPr>
                <w:rFonts w:ascii="Arial" w:hAnsi="Arial" w:cs="Arial"/>
                <w:sz w:val="24"/>
                <w:szCs w:val="24"/>
                <w:lang w:val="en-GB" w:eastAsia="en-GB"/>
              </w:rPr>
            </w:pPr>
            <w:r>
              <w:rPr>
                <w:rFonts w:ascii="Arial" w:hAnsi="Arial" w:cs="Arial"/>
                <w:sz w:val="24"/>
                <w:szCs w:val="24"/>
                <w:lang w:val="en-GB" w:eastAsia="en-GB"/>
              </w:rPr>
              <w:t xml:space="preserve"> </w:t>
            </w:r>
          </w:p>
          <w:p w14:paraId="476CCD22" w14:textId="77777777" w:rsidR="00F5729A" w:rsidRDefault="00F5729A" w:rsidP="00854047">
            <w:pPr>
              <w:rPr>
                <w:rFonts w:ascii="Arial" w:hAnsi="Arial" w:cs="Arial"/>
                <w:sz w:val="24"/>
                <w:szCs w:val="24"/>
                <w:lang w:val="en-GB" w:eastAsia="en-GB"/>
              </w:rPr>
            </w:pPr>
          </w:p>
          <w:p w14:paraId="75DAC201" w14:textId="77777777" w:rsidR="00F5729A" w:rsidRDefault="00F5729A" w:rsidP="00854047">
            <w:pPr>
              <w:rPr>
                <w:rFonts w:ascii="Arial" w:hAnsi="Arial" w:cs="Arial"/>
                <w:sz w:val="24"/>
                <w:szCs w:val="24"/>
                <w:lang w:val="en-GB" w:eastAsia="en-GB"/>
              </w:rPr>
            </w:pPr>
          </w:p>
          <w:p w14:paraId="6646EC81" w14:textId="10BF7907" w:rsid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NAO reported that it remains uncertain that the London Tube public-private partnership (PPP) will offer optimum vfm, for example, due to the way its contractual framework was structured.</w:t>
            </w:r>
          </w:p>
          <w:p w14:paraId="00E94395" w14:textId="0FD2632E" w:rsidR="00C5037F" w:rsidRDefault="00C5037F" w:rsidP="00854047">
            <w:pPr>
              <w:rPr>
                <w:rFonts w:ascii="Arial" w:hAnsi="Arial" w:cs="Arial"/>
                <w:sz w:val="24"/>
                <w:szCs w:val="24"/>
                <w:lang w:val="en-GB" w:eastAsia="en-GB"/>
              </w:rPr>
            </w:pPr>
          </w:p>
          <w:p w14:paraId="15338A18" w14:textId="0CB8311C" w:rsidR="00C5037F" w:rsidRDefault="00C5037F" w:rsidP="00854047">
            <w:pPr>
              <w:rPr>
                <w:rFonts w:ascii="Arial" w:hAnsi="Arial" w:cs="Arial"/>
                <w:sz w:val="24"/>
                <w:szCs w:val="24"/>
                <w:lang w:val="en-GB" w:eastAsia="en-GB"/>
              </w:rPr>
            </w:pPr>
            <w:r>
              <w:rPr>
                <w:rFonts w:ascii="Arial" w:hAnsi="Arial" w:cs="Arial"/>
                <w:sz w:val="24"/>
                <w:szCs w:val="24"/>
                <w:lang w:val="en-GB" w:eastAsia="en-GB"/>
              </w:rPr>
              <w:t>In 20</w:t>
            </w:r>
            <w:r w:rsidR="00444011">
              <w:rPr>
                <w:rFonts w:ascii="Arial" w:hAnsi="Arial" w:cs="Arial"/>
                <w:sz w:val="24"/>
                <w:szCs w:val="24"/>
                <w:lang w:val="en-GB" w:eastAsia="en-GB"/>
              </w:rPr>
              <w:t>1</w:t>
            </w:r>
            <w:r>
              <w:rPr>
                <w:rFonts w:ascii="Arial" w:hAnsi="Arial" w:cs="Arial"/>
                <w:sz w:val="24"/>
                <w:szCs w:val="24"/>
                <w:lang w:val="en-GB" w:eastAsia="en-GB"/>
              </w:rPr>
              <w:t xml:space="preserve">8, </w:t>
            </w:r>
            <w:r w:rsidR="003D29B1">
              <w:rPr>
                <w:rFonts w:ascii="Arial" w:hAnsi="Arial" w:cs="Arial"/>
                <w:sz w:val="24"/>
                <w:szCs w:val="24"/>
                <w:lang w:val="en-GB" w:eastAsia="en-GB"/>
              </w:rPr>
              <w:t xml:space="preserve">NAO </w:t>
            </w:r>
            <w:r>
              <w:rPr>
                <w:rFonts w:ascii="Arial" w:hAnsi="Arial" w:cs="Arial"/>
                <w:sz w:val="24"/>
                <w:szCs w:val="24"/>
                <w:lang w:val="en-GB" w:eastAsia="en-GB"/>
              </w:rPr>
              <w:t xml:space="preserve">more generally highlighted that </w:t>
            </w:r>
            <w:r w:rsidR="00444011">
              <w:rPr>
                <w:rFonts w:ascii="Arial" w:hAnsi="Arial" w:cs="Arial"/>
                <w:sz w:val="24"/>
                <w:szCs w:val="24"/>
                <w:lang w:val="en-GB" w:eastAsia="en-GB"/>
              </w:rPr>
              <w:t>public Clients tend not</w:t>
            </w:r>
            <w:r w:rsidR="003D29B1">
              <w:rPr>
                <w:rFonts w:ascii="Arial" w:hAnsi="Arial" w:cs="Arial"/>
                <w:sz w:val="24"/>
                <w:szCs w:val="24"/>
                <w:lang w:val="en-GB" w:eastAsia="en-GB"/>
              </w:rPr>
              <w:t>, but need</w:t>
            </w:r>
            <w:r w:rsidR="0083313D">
              <w:rPr>
                <w:rFonts w:ascii="Arial" w:hAnsi="Arial" w:cs="Arial"/>
                <w:sz w:val="24"/>
                <w:szCs w:val="24"/>
                <w:lang w:val="en-GB" w:eastAsia="en-GB"/>
              </w:rPr>
              <w:t>,</w:t>
            </w:r>
            <w:r w:rsidR="003D29B1">
              <w:rPr>
                <w:rFonts w:ascii="Arial" w:hAnsi="Arial" w:cs="Arial"/>
                <w:sz w:val="24"/>
                <w:szCs w:val="24"/>
                <w:lang w:val="en-GB" w:eastAsia="en-GB"/>
              </w:rPr>
              <w:t xml:space="preserve"> to</w:t>
            </w:r>
            <w:r w:rsidR="0083313D">
              <w:rPr>
                <w:rFonts w:ascii="Arial" w:hAnsi="Arial" w:cs="Arial"/>
                <w:sz w:val="24"/>
                <w:szCs w:val="24"/>
                <w:lang w:val="en-GB" w:eastAsia="en-GB"/>
              </w:rPr>
              <w:t xml:space="preserve"> </w:t>
            </w:r>
            <w:r w:rsidR="003D29B1">
              <w:rPr>
                <w:rFonts w:ascii="Arial" w:hAnsi="Arial" w:cs="Arial"/>
                <w:sz w:val="24"/>
                <w:szCs w:val="24"/>
                <w:lang w:val="en-GB" w:eastAsia="en-GB"/>
              </w:rPr>
              <w:t xml:space="preserve">devote </w:t>
            </w:r>
            <w:r w:rsidR="0083313D">
              <w:rPr>
                <w:rFonts w:ascii="Arial" w:hAnsi="Arial" w:cs="Arial"/>
                <w:sz w:val="24"/>
                <w:szCs w:val="24"/>
                <w:lang w:val="en-GB" w:eastAsia="en-GB"/>
              </w:rPr>
              <w:t>sufficient time and resources to ensure that business cases</w:t>
            </w:r>
            <w:r w:rsidR="00A21D76">
              <w:rPr>
                <w:rFonts w:ascii="Arial" w:hAnsi="Arial" w:cs="Arial"/>
                <w:sz w:val="24"/>
                <w:szCs w:val="24"/>
                <w:lang w:val="en-GB" w:eastAsia="en-GB"/>
              </w:rPr>
              <w:t xml:space="preserve">, specifications, and contracts capture effectively its </w:t>
            </w:r>
            <w:r w:rsidR="00CF79AB">
              <w:rPr>
                <w:rFonts w:ascii="Arial" w:hAnsi="Arial" w:cs="Arial"/>
                <w:sz w:val="24"/>
                <w:szCs w:val="24"/>
                <w:lang w:val="en-GB" w:eastAsia="en-GB"/>
              </w:rPr>
              <w:t xml:space="preserve">delivery and performance </w:t>
            </w:r>
            <w:r w:rsidR="00A21D76">
              <w:rPr>
                <w:rFonts w:ascii="Arial" w:hAnsi="Arial" w:cs="Arial"/>
                <w:sz w:val="24"/>
                <w:szCs w:val="24"/>
                <w:lang w:val="en-GB" w:eastAsia="en-GB"/>
              </w:rPr>
              <w:t>requirements</w:t>
            </w:r>
            <w:r w:rsidR="00CF79AB">
              <w:rPr>
                <w:rFonts w:ascii="Arial" w:hAnsi="Arial" w:cs="Arial"/>
                <w:sz w:val="24"/>
                <w:szCs w:val="24"/>
                <w:lang w:val="en-GB" w:eastAsia="en-GB"/>
              </w:rPr>
              <w:t xml:space="preserve">, risk allocation, </w:t>
            </w:r>
            <w:r w:rsidR="008B7B44">
              <w:rPr>
                <w:rFonts w:ascii="Arial" w:hAnsi="Arial" w:cs="Arial"/>
                <w:sz w:val="24"/>
                <w:szCs w:val="24"/>
                <w:lang w:val="en-GB" w:eastAsia="en-GB"/>
              </w:rPr>
              <w:t>and accommodate foreseen changes and needed flexibilities</w:t>
            </w:r>
            <w:r w:rsidR="00734003">
              <w:rPr>
                <w:rFonts w:ascii="Arial" w:hAnsi="Arial" w:cs="Arial"/>
                <w:sz w:val="24"/>
                <w:szCs w:val="24"/>
                <w:lang w:val="en-GB" w:eastAsia="en-GB"/>
              </w:rPr>
              <w:t>, includ</w:t>
            </w:r>
            <w:r w:rsidR="00187432">
              <w:rPr>
                <w:rFonts w:ascii="Arial" w:hAnsi="Arial" w:cs="Arial"/>
                <w:sz w:val="24"/>
                <w:szCs w:val="24"/>
                <w:lang w:val="en-GB" w:eastAsia="en-GB"/>
              </w:rPr>
              <w:t>i</w:t>
            </w:r>
            <w:r w:rsidR="00734003">
              <w:rPr>
                <w:rFonts w:ascii="Arial" w:hAnsi="Arial" w:cs="Arial"/>
                <w:sz w:val="24"/>
                <w:szCs w:val="24"/>
                <w:lang w:val="en-GB" w:eastAsia="en-GB"/>
              </w:rPr>
              <w:t>ng possible termination scenarios.</w:t>
            </w:r>
            <w:r w:rsidR="004E73DC">
              <w:rPr>
                <w:rFonts w:ascii="Arial" w:hAnsi="Arial" w:cs="Arial"/>
                <w:sz w:val="24"/>
                <w:szCs w:val="24"/>
                <w:lang w:val="en-GB" w:eastAsia="en-GB"/>
              </w:rPr>
              <w:t xml:space="preserve"> </w:t>
            </w:r>
          </w:p>
          <w:p w14:paraId="1140B4C0" w14:textId="7A62D85A" w:rsidR="005F7D31" w:rsidRDefault="005F7D31" w:rsidP="00854047">
            <w:pPr>
              <w:rPr>
                <w:rFonts w:ascii="Arial" w:hAnsi="Arial" w:cs="Arial"/>
                <w:sz w:val="24"/>
                <w:szCs w:val="24"/>
                <w:lang w:val="en-GB" w:eastAsia="en-GB"/>
              </w:rPr>
            </w:pPr>
          </w:p>
          <w:p w14:paraId="34E47EF4" w14:textId="02201CE8" w:rsidR="00E66AF7" w:rsidRDefault="004A77AD" w:rsidP="005A3362">
            <w:pPr>
              <w:rPr>
                <w:rFonts w:ascii="Arial" w:hAnsi="Arial" w:cs="Arial"/>
                <w:sz w:val="24"/>
                <w:szCs w:val="24"/>
                <w:lang w:val="en-GB" w:eastAsia="en-GB"/>
              </w:rPr>
            </w:pPr>
            <w:r>
              <w:rPr>
                <w:rFonts w:ascii="Arial" w:hAnsi="Arial" w:cs="Arial"/>
                <w:sz w:val="24"/>
                <w:szCs w:val="24"/>
                <w:lang w:val="en-GB" w:eastAsia="en-GB"/>
              </w:rPr>
              <w:t>2011 N</w:t>
            </w:r>
            <w:r w:rsidR="00ED4E96">
              <w:rPr>
                <w:rFonts w:ascii="Arial" w:hAnsi="Arial" w:cs="Arial"/>
                <w:sz w:val="24"/>
                <w:szCs w:val="24"/>
                <w:lang w:val="en-GB" w:eastAsia="en-GB"/>
              </w:rPr>
              <w:t xml:space="preserve">AO evaluation could not identify evidence that </w:t>
            </w:r>
            <w:r w:rsidR="00EF5390">
              <w:rPr>
                <w:rFonts w:ascii="Arial" w:hAnsi="Arial" w:cs="Arial"/>
                <w:sz w:val="24"/>
                <w:szCs w:val="24"/>
                <w:lang w:val="en-GB" w:eastAsia="en-GB"/>
              </w:rPr>
              <w:t>PFI</w:t>
            </w:r>
            <w:r w:rsidR="005713D1">
              <w:rPr>
                <w:rFonts w:ascii="Arial" w:hAnsi="Arial" w:cs="Arial"/>
                <w:sz w:val="24"/>
                <w:szCs w:val="24"/>
                <w:lang w:val="en-GB" w:eastAsia="en-GB"/>
              </w:rPr>
              <w:t xml:space="preserve"> delivered superior </w:t>
            </w:r>
            <w:r w:rsidR="0092513E">
              <w:rPr>
                <w:rFonts w:ascii="Arial" w:hAnsi="Arial" w:cs="Arial"/>
                <w:sz w:val="24"/>
                <w:szCs w:val="24"/>
                <w:lang w:val="en-GB" w:eastAsia="en-GB"/>
              </w:rPr>
              <w:t xml:space="preserve">asset quality or </w:t>
            </w:r>
            <w:r w:rsidR="00336BB6">
              <w:rPr>
                <w:rFonts w:ascii="Arial" w:hAnsi="Arial" w:cs="Arial"/>
                <w:sz w:val="24"/>
                <w:szCs w:val="24"/>
                <w:lang w:val="en-GB" w:eastAsia="en-GB"/>
              </w:rPr>
              <w:t xml:space="preserve">operating performance </w:t>
            </w:r>
            <w:r w:rsidR="0092513E">
              <w:rPr>
                <w:rFonts w:ascii="Arial" w:hAnsi="Arial" w:cs="Arial"/>
                <w:sz w:val="24"/>
                <w:szCs w:val="24"/>
                <w:lang w:val="en-GB" w:eastAsia="en-GB"/>
              </w:rPr>
              <w:t xml:space="preserve">at either project or programme level. </w:t>
            </w:r>
          </w:p>
          <w:p w14:paraId="0C8C2CBD" w14:textId="77777777" w:rsidR="00E66AF7" w:rsidRDefault="00E66AF7" w:rsidP="005A3362">
            <w:pPr>
              <w:rPr>
                <w:rFonts w:ascii="Arial" w:hAnsi="Arial" w:cs="Arial"/>
                <w:sz w:val="24"/>
                <w:szCs w:val="24"/>
                <w:lang w:val="en-GB" w:eastAsia="en-GB"/>
              </w:rPr>
            </w:pPr>
          </w:p>
          <w:p w14:paraId="2A3F5FB6" w14:textId="2A7407E6" w:rsidR="005A3362" w:rsidRPr="00854047" w:rsidRDefault="005A3362" w:rsidP="005A3362">
            <w:pPr>
              <w:rPr>
                <w:rFonts w:ascii="Arial" w:hAnsi="Arial" w:cs="Arial"/>
                <w:sz w:val="24"/>
                <w:szCs w:val="24"/>
                <w:lang w:val="en-GB" w:eastAsia="en-GB"/>
              </w:rPr>
            </w:pPr>
            <w:r w:rsidRPr="00854047">
              <w:rPr>
                <w:rFonts w:ascii="Arial" w:hAnsi="Arial" w:cs="Arial"/>
                <w:sz w:val="24"/>
                <w:szCs w:val="24"/>
                <w:lang w:val="en-GB" w:eastAsia="en-GB"/>
              </w:rPr>
              <w:t>X-efficiency will depend upon market</w:t>
            </w:r>
            <w:r w:rsidR="00DC140E">
              <w:rPr>
                <w:rFonts w:ascii="Arial" w:hAnsi="Arial" w:cs="Arial"/>
                <w:sz w:val="24"/>
                <w:szCs w:val="24"/>
                <w:lang w:val="en-GB" w:eastAsia="en-GB"/>
              </w:rPr>
              <w:t xml:space="preserve">/Supplier </w:t>
            </w:r>
            <w:r w:rsidRPr="00854047">
              <w:rPr>
                <w:rFonts w:ascii="Arial" w:hAnsi="Arial" w:cs="Arial"/>
                <w:sz w:val="24"/>
                <w:szCs w:val="24"/>
                <w:lang w:val="en-GB" w:eastAsia="en-GB"/>
              </w:rPr>
              <w:t>structure and context</w:t>
            </w:r>
            <w:r>
              <w:rPr>
                <w:rFonts w:ascii="Arial" w:hAnsi="Arial" w:cs="Arial"/>
                <w:sz w:val="24"/>
                <w:szCs w:val="24"/>
                <w:lang w:val="en-GB" w:eastAsia="en-GB"/>
              </w:rPr>
              <w:t xml:space="preserve">, including </w:t>
            </w:r>
            <w:r w:rsidRPr="00854047">
              <w:rPr>
                <w:rFonts w:ascii="Arial" w:hAnsi="Arial" w:cs="Arial"/>
                <w:sz w:val="24"/>
                <w:szCs w:val="24"/>
                <w:lang w:val="en-GB" w:eastAsia="en-GB"/>
              </w:rPr>
              <w:t xml:space="preserve">the interaction of the contractual incentives and penalties.  </w:t>
            </w:r>
          </w:p>
          <w:p w14:paraId="61100C3D" w14:textId="77777777" w:rsidR="005A3362" w:rsidRDefault="005A3362" w:rsidP="00854047">
            <w:pPr>
              <w:rPr>
                <w:rFonts w:ascii="Arial" w:hAnsi="Arial" w:cs="Arial"/>
                <w:sz w:val="24"/>
                <w:szCs w:val="24"/>
                <w:lang w:val="en-GB" w:eastAsia="en-GB"/>
              </w:rPr>
            </w:pPr>
          </w:p>
          <w:p w14:paraId="307A7412" w14:textId="6F6C3FFD" w:rsidR="00DC140E" w:rsidRPr="00854047" w:rsidRDefault="001058B0" w:rsidP="00854047">
            <w:pPr>
              <w:rPr>
                <w:rFonts w:ascii="Arial" w:hAnsi="Arial" w:cs="Arial"/>
                <w:sz w:val="24"/>
                <w:szCs w:val="24"/>
                <w:lang w:val="en-GB" w:eastAsia="en-GB"/>
              </w:rPr>
            </w:pPr>
            <w:r>
              <w:rPr>
                <w:rFonts w:ascii="Arial" w:hAnsi="Arial" w:cs="Arial"/>
                <w:sz w:val="24"/>
                <w:szCs w:val="24"/>
                <w:lang w:val="en-GB" w:eastAsia="en-GB"/>
              </w:rPr>
              <w:t xml:space="preserve">Public service ethos </w:t>
            </w:r>
            <w:r w:rsidR="000C163C">
              <w:rPr>
                <w:rFonts w:ascii="Arial" w:hAnsi="Arial" w:cs="Arial"/>
                <w:sz w:val="24"/>
                <w:szCs w:val="24"/>
                <w:lang w:val="en-GB" w:eastAsia="en-GB"/>
              </w:rPr>
              <w:t xml:space="preserve">in place of profit motive </w:t>
            </w:r>
            <w:r w:rsidR="004628BD">
              <w:rPr>
                <w:rFonts w:ascii="Arial" w:hAnsi="Arial" w:cs="Arial"/>
                <w:sz w:val="24"/>
                <w:szCs w:val="24"/>
                <w:lang w:val="en-GB" w:eastAsia="en-GB"/>
              </w:rPr>
              <w:t>could drive X-eff</w:t>
            </w:r>
            <w:r w:rsidR="000C163C">
              <w:rPr>
                <w:rFonts w:ascii="Arial" w:hAnsi="Arial" w:cs="Arial"/>
                <w:sz w:val="24"/>
                <w:szCs w:val="24"/>
                <w:lang w:val="en-GB" w:eastAsia="en-GB"/>
              </w:rPr>
              <w:t>i</w:t>
            </w:r>
            <w:r w:rsidR="004628BD">
              <w:rPr>
                <w:rFonts w:ascii="Arial" w:hAnsi="Arial" w:cs="Arial"/>
                <w:sz w:val="24"/>
                <w:szCs w:val="24"/>
                <w:lang w:val="en-GB" w:eastAsia="en-GB"/>
              </w:rPr>
              <w:t>ciency</w:t>
            </w:r>
            <w:r w:rsidR="00FB0DF3">
              <w:rPr>
                <w:rFonts w:ascii="Arial" w:hAnsi="Arial" w:cs="Arial"/>
                <w:sz w:val="24"/>
                <w:szCs w:val="24"/>
                <w:lang w:val="en-GB" w:eastAsia="en-GB"/>
              </w:rPr>
              <w:t>,</w:t>
            </w:r>
            <w:r w:rsidR="004628BD">
              <w:rPr>
                <w:rFonts w:ascii="Arial" w:hAnsi="Arial" w:cs="Arial"/>
                <w:sz w:val="24"/>
                <w:szCs w:val="24"/>
                <w:lang w:val="en-GB" w:eastAsia="en-GB"/>
              </w:rPr>
              <w:t xml:space="preserve"> </w:t>
            </w:r>
            <w:r w:rsidR="000C163C">
              <w:rPr>
                <w:rFonts w:ascii="Arial" w:hAnsi="Arial" w:cs="Arial"/>
                <w:sz w:val="24"/>
                <w:szCs w:val="24"/>
                <w:lang w:val="en-GB" w:eastAsia="en-GB"/>
              </w:rPr>
              <w:t xml:space="preserve">but </w:t>
            </w:r>
            <w:r w:rsidR="00FB0DF3">
              <w:rPr>
                <w:rFonts w:ascii="Arial" w:hAnsi="Arial" w:cs="Arial"/>
                <w:sz w:val="24"/>
                <w:szCs w:val="24"/>
                <w:lang w:val="en-GB" w:eastAsia="en-GB"/>
              </w:rPr>
              <w:t xml:space="preserve">this </w:t>
            </w:r>
            <w:r w:rsidR="00874173">
              <w:rPr>
                <w:rFonts w:ascii="Arial" w:hAnsi="Arial" w:cs="Arial"/>
                <w:sz w:val="24"/>
                <w:szCs w:val="24"/>
                <w:lang w:val="en-GB" w:eastAsia="en-GB"/>
              </w:rPr>
              <w:t xml:space="preserve">cannot be assumed. </w:t>
            </w:r>
          </w:p>
        </w:tc>
      </w:tr>
      <w:tr w:rsidR="00854047" w:rsidRPr="00854047" w14:paraId="7F3BF50D" w14:textId="77777777" w:rsidTr="006304F3">
        <w:tc>
          <w:tcPr>
            <w:tcW w:w="0" w:type="auto"/>
          </w:tcPr>
          <w:p w14:paraId="41D9A758"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lastRenderedPageBreak/>
              <w:t>2</w:t>
            </w:r>
          </w:p>
        </w:tc>
        <w:tc>
          <w:tcPr>
            <w:tcW w:w="1777" w:type="dxa"/>
          </w:tcPr>
          <w:p w14:paraId="55F5BEEC"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Financing cost</w:t>
            </w:r>
          </w:p>
          <w:p w14:paraId="4FAA4969" w14:textId="77777777" w:rsidR="00854047" w:rsidRPr="00854047" w:rsidRDefault="00854047" w:rsidP="00854047">
            <w:pPr>
              <w:rPr>
                <w:rFonts w:ascii="Arial" w:hAnsi="Arial" w:cs="Arial"/>
                <w:b/>
                <w:sz w:val="24"/>
                <w:szCs w:val="24"/>
                <w:lang w:val="en-GB" w:eastAsia="en-GB"/>
              </w:rPr>
            </w:pPr>
          </w:p>
        </w:tc>
        <w:tc>
          <w:tcPr>
            <w:tcW w:w="3539" w:type="dxa"/>
          </w:tcPr>
          <w:p w14:paraId="05C01A70" w14:textId="77777777" w:rsidR="0065276F" w:rsidRDefault="00854047" w:rsidP="00854047">
            <w:pPr>
              <w:rPr>
                <w:rFonts w:ascii="Arial" w:hAnsi="Arial" w:cs="Arial"/>
                <w:sz w:val="24"/>
                <w:szCs w:val="24"/>
                <w:lang w:val="en-GB" w:eastAsia="en-GB"/>
              </w:rPr>
            </w:pPr>
            <w:r w:rsidRPr="00854047">
              <w:rPr>
                <w:rFonts w:ascii="Arial" w:hAnsi="Arial" w:cs="Arial"/>
                <w:sz w:val="24"/>
                <w:szCs w:val="24"/>
                <w:lang w:val="en-GB" w:eastAsia="en-GB"/>
              </w:rPr>
              <w:t>Private sector pays more for investment finance than public sector</w:t>
            </w:r>
            <w:r w:rsidR="00065274">
              <w:rPr>
                <w:rFonts w:ascii="Arial" w:hAnsi="Arial" w:cs="Arial"/>
                <w:sz w:val="24"/>
                <w:szCs w:val="24"/>
                <w:lang w:val="en-GB" w:eastAsia="en-GB"/>
              </w:rPr>
              <w:t xml:space="preserve">: </w:t>
            </w:r>
            <w:r w:rsidR="00C0456E">
              <w:rPr>
                <w:rFonts w:ascii="Arial" w:hAnsi="Arial" w:cs="Arial"/>
                <w:sz w:val="24"/>
                <w:szCs w:val="24"/>
                <w:lang w:val="en-GB" w:eastAsia="en-GB"/>
              </w:rPr>
              <w:t>between 2-4% more than cost of government gilts, higher during periods of fin</w:t>
            </w:r>
            <w:r w:rsidR="0065276F">
              <w:rPr>
                <w:rFonts w:ascii="Arial" w:hAnsi="Arial" w:cs="Arial"/>
                <w:sz w:val="24"/>
                <w:szCs w:val="24"/>
                <w:lang w:val="en-GB" w:eastAsia="en-GB"/>
              </w:rPr>
              <w:t>an</w:t>
            </w:r>
            <w:r w:rsidR="00C0456E">
              <w:rPr>
                <w:rFonts w:ascii="Arial" w:hAnsi="Arial" w:cs="Arial"/>
                <w:sz w:val="24"/>
                <w:szCs w:val="24"/>
                <w:lang w:val="en-GB" w:eastAsia="en-GB"/>
              </w:rPr>
              <w:t>cial stress, such as GFC</w:t>
            </w:r>
            <w:r w:rsidRPr="00854047">
              <w:rPr>
                <w:rFonts w:ascii="Arial" w:hAnsi="Arial" w:cs="Arial"/>
                <w:sz w:val="24"/>
                <w:szCs w:val="24"/>
                <w:lang w:val="en-GB" w:eastAsia="en-GB"/>
              </w:rPr>
              <w:t xml:space="preserve">. </w:t>
            </w:r>
          </w:p>
          <w:p w14:paraId="597EE3EF" w14:textId="77F410ED" w:rsidR="00F93474" w:rsidRDefault="007F47E8" w:rsidP="00854047">
            <w:pPr>
              <w:rPr>
                <w:rFonts w:ascii="Arial" w:hAnsi="Arial" w:cs="Arial"/>
                <w:sz w:val="24"/>
                <w:szCs w:val="24"/>
                <w:lang w:val="en-GB" w:eastAsia="en-GB"/>
              </w:rPr>
            </w:pPr>
            <w:r>
              <w:rPr>
                <w:rFonts w:ascii="Arial" w:hAnsi="Arial" w:cs="Arial"/>
                <w:sz w:val="24"/>
                <w:szCs w:val="24"/>
                <w:lang w:val="en-GB" w:eastAsia="en-GB"/>
              </w:rPr>
              <w:t>E</w:t>
            </w:r>
            <w:r w:rsidR="00191CFD">
              <w:rPr>
                <w:rFonts w:ascii="Arial" w:hAnsi="Arial" w:cs="Arial"/>
                <w:sz w:val="24"/>
                <w:szCs w:val="24"/>
                <w:lang w:val="en-GB" w:eastAsia="en-GB"/>
              </w:rPr>
              <w:t xml:space="preserve">quity and debt cost of capital is higher </w:t>
            </w:r>
            <w:r w:rsidR="00361221">
              <w:rPr>
                <w:rFonts w:ascii="Arial" w:hAnsi="Arial" w:cs="Arial"/>
                <w:sz w:val="24"/>
                <w:szCs w:val="24"/>
                <w:lang w:val="en-GB" w:eastAsia="en-GB"/>
              </w:rPr>
              <w:t xml:space="preserve">to </w:t>
            </w:r>
            <w:r w:rsidR="00191CFD">
              <w:rPr>
                <w:rFonts w:ascii="Arial" w:hAnsi="Arial" w:cs="Arial"/>
                <w:sz w:val="24"/>
                <w:szCs w:val="24"/>
                <w:lang w:val="en-GB" w:eastAsia="en-GB"/>
              </w:rPr>
              <w:t xml:space="preserve">the private sector </w:t>
            </w:r>
            <w:r>
              <w:rPr>
                <w:rFonts w:ascii="Arial" w:hAnsi="Arial" w:cs="Arial"/>
                <w:sz w:val="24"/>
                <w:szCs w:val="24"/>
                <w:lang w:val="en-GB" w:eastAsia="en-GB"/>
              </w:rPr>
              <w:t xml:space="preserve">with </w:t>
            </w:r>
            <w:r w:rsidR="00854047" w:rsidRPr="00854047">
              <w:rPr>
                <w:rFonts w:ascii="Arial" w:hAnsi="Arial" w:cs="Arial"/>
                <w:sz w:val="24"/>
                <w:szCs w:val="24"/>
                <w:lang w:val="en-GB" w:eastAsia="en-GB"/>
              </w:rPr>
              <w:t>project risk</w:t>
            </w:r>
            <w:r w:rsidR="00361221">
              <w:rPr>
                <w:rFonts w:ascii="Arial" w:hAnsi="Arial" w:cs="Arial"/>
                <w:sz w:val="24"/>
                <w:szCs w:val="24"/>
                <w:lang w:val="en-GB" w:eastAsia="en-GB"/>
              </w:rPr>
              <w:t xml:space="preserve"> is priced-in</w:t>
            </w:r>
            <w:r>
              <w:rPr>
                <w:rFonts w:ascii="Arial" w:hAnsi="Arial" w:cs="Arial"/>
                <w:sz w:val="24"/>
                <w:szCs w:val="24"/>
                <w:lang w:val="en-GB" w:eastAsia="en-GB"/>
              </w:rPr>
              <w:t>. The</w:t>
            </w:r>
            <w:r w:rsidR="00854047" w:rsidRPr="00854047">
              <w:rPr>
                <w:rFonts w:ascii="Arial" w:hAnsi="Arial" w:cs="Arial"/>
                <w:sz w:val="24"/>
                <w:szCs w:val="24"/>
                <w:lang w:val="en-GB" w:eastAsia="en-GB"/>
              </w:rPr>
              <w:t xml:space="preserve"> private sector also does not have benefit of Treasury no-default guarantee and the ability to raise finance wholesale through Public Works Loans Fund. </w:t>
            </w:r>
          </w:p>
          <w:p w14:paraId="0607B442" w14:textId="77777777" w:rsidR="00F93474" w:rsidRDefault="00F93474" w:rsidP="00854047">
            <w:pPr>
              <w:rPr>
                <w:rFonts w:ascii="Arial" w:hAnsi="Arial" w:cs="Arial"/>
                <w:sz w:val="24"/>
                <w:szCs w:val="24"/>
                <w:lang w:val="en-GB" w:eastAsia="en-GB"/>
              </w:rPr>
            </w:pPr>
          </w:p>
          <w:p w14:paraId="0EC1B383" w14:textId="2AD90DC8" w:rsidR="008427E7" w:rsidRDefault="008427E7" w:rsidP="008427E7">
            <w:pPr>
              <w:rPr>
                <w:rFonts w:ascii="Arial" w:hAnsi="Arial" w:cs="Arial"/>
                <w:sz w:val="24"/>
                <w:szCs w:val="24"/>
                <w:lang w:val="en-GB" w:eastAsia="en-GB"/>
              </w:rPr>
            </w:pPr>
            <w:r w:rsidRPr="003F66D6">
              <w:rPr>
                <w:rFonts w:ascii="Arial" w:hAnsi="Arial" w:cs="Arial"/>
                <w:sz w:val="24"/>
                <w:szCs w:val="24"/>
                <w:lang w:val="en-GB" w:eastAsia="en-GB"/>
              </w:rPr>
              <w:t xml:space="preserve">NAO reports that </w:t>
            </w:r>
            <w:r>
              <w:rPr>
                <w:rFonts w:ascii="Arial" w:hAnsi="Arial" w:cs="Arial"/>
                <w:sz w:val="24"/>
                <w:szCs w:val="24"/>
                <w:lang w:val="en-GB" w:eastAsia="en-GB"/>
              </w:rPr>
              <w:t xml:space="preserve">redeeming </w:t>
            </w:r>
            <w:r w:rsidRPr="00A60D23">
              <w:rPr>
                <w:rFonts w:ascii="Arial" w:hAnsi="Arial" w:cs="Arial"/>
                <w:sz w:val="24"/>
                <w:szCs w:val="24"/>
                <w:lang w:val="en-GB" w:eastAsia="en-GB"/>
              </w:rPr>
              <w:t>a debt of £100 million over 30 years with interest of 2% costs £34 million in interest; at 4% this more than doubles to £73 million</w:t>
            </w:r>
            <w:r>
              <w:rPr>
                <w:rFonts w:ascii="Arial" w:hAnsi="Arial" w:cs="Arial"/>
                <w:sz w:val="24"/>
                <w:szCs w:val="24"/>
                <w:lang w:val="en-GB" w:eastAsia="en-GB"/>
              </w:rPr>
              <w:t>.</w:t>
            </w:r>
          </w:p>
          <w:p w14:paraId="29533DCD" w14:textId="79769E3A" w:rsidR="00B67E93" w:rsidRDefault="00B67E93" w:rsidP="008427E7">
            <w:pPr>
              <w:rPr>
                <w:rFonts w:ascii="Arial" w:hAnsi="Arial" w:cs="Arial"/>
                <w:sz w:val="24"/>
                <w:szCs w:val="24"/>
                <w:lang w:val="en-GB" w:eastAsia="en-GB"/>
              </w:rPr>
            </w:pPr>
          </w:p>
          <w:p w14:paraId="56A113F0" w14:textId="1B623223" w:rsidR="00B67E93" w:rsidRPr="00854047" w:rsidRDefault="00B67E93" w:rsidP="008427E7">
            <w:pPr>
              <w:rPr>
                <w:rFonts w:ascii="Arial" w:hAnsi="Arial" w:cs="Arial"/>
                <w:sz w:val="24"/>
                <w:szCs w:val="24"/>
                <w:lang w:val="en-GB" w:eastAsia="en-GB"/>
              </w:rPr>
            </w:pPr>
            <w:r>
              <w:rPr>
                <w:rFonts w:ascii="Arial" w:hAnsi="Arial" w:cs="Arial"/>
                <w:sz w:val="24"/>
                <w:szCs w:val="24"/>
                <w:lang w:val="en-GB" w:eastAsia="en-GB"/>
              </w:rPr>
              <w:t>Other additional costs that SPV’s need to cover, including insurance, external advisers, cash reserves, and management fees add c2% to contract cost.</w:t>
            </w:r>
          </w:p>
          <w:p w14:paraId="52CF2DA4" w14:textId="6DF8F3CB" w:rsidR="00854047" w:rsidRPr="00854047" w:rsidRDefault="00854047" w:rsidP="00854047">
            <w:pPr>
              <w:rPr>
                <w:rFonts w:ascii="Arial" w:hAnsi="Arial" w:cs="Arial"/>
                <w:sz w:val="24"/>
                <w:szCs w:val="24"/>
                <w:lang w:val="en-GB" w:eastAsia="en-GB"/>
              </w:rPr>
            </w:pPr>
          </w:p>
        </w:tc>
        <w:tc>
          <w:tcPr>
            <w:tcW w:w="3622" w:type="dxa"/>
          </w:tcPr>
          <w:p w14:paraId="124F2F2F" w14:textId="77777777" w:rsidR="003F66D6"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The differential in financing cost </w:t>
            </w:r>
            <w:r w:rsidR="001A25BE">
              <w:rPr>
                <w:rFonts w:ascii="Arial" w:hAnsi="Arial" w:cs="Arial"/>
                <w:sz w:val="24"/>
                <w:szCs w:val="24"/>
                <w:lang w:val="en-GB" w:eastAsia="en-GB"/>
              </w:rPr>
              <w:t xml:space="preserve">should </w:t>
            </w:r>
            <w:r w:rsidRPr="00854047">
              <w:rPr>
                <w:rFonts w:ascii="Arial" w:hAnsi="Arial" w:cs="Arial"/>
                <w:sz w:val="24"/>
                <w:szCs w:val="24"/>
                <w:lang w:val="en-GB" w:eastAsia="en-GB"/>
              </w:rPr>
              <w:t>reflect the transfer of investment and operating risk to the private sector</w:t>
            </w:r>
            <w:r w:rsidR="007078EB">
              <w:rPr>
                <w:rFonts w:ascii="Arial" w:hAnsi="Arial" w:cs="Arial"/>
                <w:sz w:val="24"/>
                <w:szCs w:val="24"/>
                <w:lang w:val="en-GB" w:eastAsia="en-GB"/>
              </w:rPr>
              <w:t xml:space="preserve">, but </w:t>
            </w:r>
            <w:r w:rsidR="00D826EF">
              <w:rPr>
                <w:rFonts w:ascii="Arial" w:hAnsi="Arial" w:cs="Arial"/>
                <w:sz w:val="24"/>
                <w:szCs w:val="24"/>
                <w:lang w:val="en-GB" w:eastAsia="en-GB"/>
              </w:rPr>
              <w:t xml:space="preserve">differential cost of finance has resulted in PFI projects proving more expensive in whole </w:t>
            </w:r>
            <w:r w:rsidR="00297F80">
              <w:rPr>
                <w:rFonts w:ascii="Arial" w:hAnsi="Arial" w:cs="Arial"/>
                <w:sz w:val="24"/>
                <w:szCs w:val="24"/>
                <w:lang w:val="en-GB" w:eastAsia="en-GB"/>
              </w:rPr>
              <w:t>project—life terms.</w:t>
            </w:r>
          </w:p>
          <w:p w14:paraId="45BA2765" w14:textId="77777777" w:rsidR="003F66D6" w:rsidRDefault="003F66D6" w:rsidP="00854047"/>
          <w:p w14:paraId="11DDC783" w14:textId="77777777" w:rsidR="00854047" w:rsidRPr="00854047" w:rsidRDefault="00854047" w:rsidP="00854047">
            <w:pPr>
              <w:rPr>
                <w:rFonts w:ascii="Arial" w:hAnsi="Arial" w:cs="Arial"/>
                <w:sz w:val="24"/>
                <w:szCs w:val="24"/>
                <w:lang w:val="en-GB" w:eastAsia="en-GB"/>
              </w:rPr>
            </w:pPr>
          </w:p>
          <w:p w14:paraId="2958542C" w14:textId="5B429867" w:rsidR="00854047" w:rsidRDefault="0033340A" w:rsidP="00854047">
            <w:pPr>
              <w:rPr>
                <w:rFonts w:ascii="Arial" w:hAnsi="Arial" w:cs="Arial"/>
                <w:sz w:val="24"/>
                <w:szCs w:val="24"/>
                <w:lang w:val="en-GB" w:eastAsia="en-GB"/>
              </w:rPr>
            </w:pPr>
            <w:r>
              <w:rPr>
                <w:rFonts w:ascii="Arial" w:hAnsi="Arial" w:cs="Arial"/>
                <w:sz w:val="24"/>
                <w:szCs w:val="24"/>
                <w:lang w:val="en-GB" w:eastAsia="en-GB"/>
              </w:rPr>
              <w:t>Differential</w:t>
            </w:r>
            <w:r w:rsidR="00854047" w:rsidRPr="00854047">
              <w:rPr>
                <w:rFonts w:ascii="Arial" w:hAnsi="Arial" w:cs="Arial"/>
                <w:sz w:val="24"/>
                <w:szCs w:val="24"/>
                <w:lang w:val="en-GB" w:eastAsia="en-GB"/>
              </w:rPr>
              <w:t xml:space="preserve"> </w:t>
            </w:r>
            <w:r w:rsidR="00F93474">
              <w:rPr>
                <w:rFonts w:ascii="Arial" w:hAnsi="Arial" w:cs="Arial"/>
                <w:sz w:val="24"/>
                <w:szCs w:val="24"/>
                <w:lang w:val="en-GB" w:eastAsia="en-GB"/>
              </w:rPr>
              <w:t>migh</w:t>
            </w:r>
            <w:r w:rsidR="00195518">
              <w:rPr>
                <w:rFonts w:ascii="Arial" w:hAnsi="Arial" w:cs="Arial"/>
                <w:sz w:val="24"/>
                <w:szCs w:val="24"/>
                <w:lang w:val="en-GB" w:eastAsia="en-GB"/>
              </w:rPr>
              <w:t>t be</w:t>
            </w:r>
            <w:r w:rsidR="00854047" w:rsidRPr="00854047">
              <w:rPr>
                <w:rFonts w:ascii="Arial" w:hAnsi="Arial" w:cs="Arial"/>
                <w:sz w:val="24"/>
                <w:szCs w:val="24"/>
                <w:lang w:val="en-GB" w:eastAsia="en-GB"/>
              </w:rPr>
              <w:t xml:space="preserve"> expected to narrow </w:t>
            </w:r>
            <w:r w:rsidR="00195518">
              <w:rPr>
                <w:rFonts w:ascii="Arial" w:hAnsi="Arial" w:cs="Arial"/>
                <w:sz w:val="24"/>
                <w:szCs w:val="24"/>
                <w:lang w:val="en-GB" w:eastAsia="en-GB"/>
              </w:rPr>
              <w:t xml:space="preserve">as PPP provision and </w:t>
            </w:r>
            <w:r w:rsidR="00854047" w:rsidRPr="00854047">
              <w:rPr>
                <w:rFonts w:ascii="Arial" w:hAnsi="Arial" w:cs="Arial"/>
                <w:sz w:val="24"/>
                <w:szCs w:val="24"/>
                <w:lang w:val="en-GB" w:eastAsia="en-GB"/>
              </w:rPr>
              <w:t>financing instruments become more sophisticated and competitive</w:t>
            </w:r>
            <w:r w:rsidR="00361221">
              <w:rPr>
                <w:rFonts w:ascii="Arial" w:hAnsi="Arial" w:cs="Arial"/>
                <w:sz w:val="24"/>
                <w:szCs w:val="24"/>
                <w:lang w:val="en-GB" w:eastAsia="en-GB"/>
              </w:rPr>
              <w:t xml:space="preserve"> within a mature market</w:t>
            </w:r>
            <w:r w:rsidR="00B72BFB">
              <w:rPr>
                <w:rFonts w:ascii="Arial" w:hAnsi="Arial" w:cs="Arial"/>
                <w:sz w:val="24"/>
                <w:szCs w:val="24"/>
                <w:lang w:val="en-GB" w:eastAsia="en-GB"/>
              </w:rPr>
              <w:t xml:space="preserve">, but as text explains managed rather than mature </w:t>
            </w:r>
            <w:r w:rsidR="00E14527">
              <w:rPr>
                <w:rFonts w:ascii="Arial" w:hAnsi="Arial" w:cs="Arial"/>
                <w:sz w:val="24"/>
                <w:szCs w:val="24"/>
                <w:lang w:val="en-GB" w:eastAsia="en-GB"/>
              </w:rPr>
              <w:t>competitive market is more likely</w:t>
            </w:r>
            <w:r>
              <w:rPr>
                <w:rFonts w:ascii="Arial" w:hAnsi="Arial" w:cs="Arial"/>
                <w:sz w:val="24"/>
                <w:szCs w:val="24"/>
                <w:lang w:val="en-GB" w:eastAsia="en-GB"/>
              </w:rPr>
              <w:t xml:space="preserve">, and additional </w:t>
            </w:r>
            <w:r w:rsidR="000C629A">
              <w:rPr>
                <w:rFonts w:ascii="Arial" w:hAnsi="Arial" w:cs="Arial"/>
                <w:sz w:val="24"/>
                <w:szCs w:val="24"/>
                <w:lang w:val="en-GB" w:eastAsia="en-GB"/>
              </w:rPr>
              <w:t>fi</w:t>
            </w:r>
            <w:r w:rsidR="00BE53E0">
              <w:rPr>
                <w:rFonts w:ascii="Arial" w:hAnsi="Arial" w:cs="Arial"/>
                <w:sz w:val="24"/>
                <w:szCs w:val="24"/>
                <w:lang w:val="en-GB" w:eastAsia="en-GB"/>
              </w:rPr>
              <w:t>nance</w:t>
            </w:r>
            <w:r w:rsidR="000C629A">
              <w:rPr>
                <w:rFonts w:ascii="Arial" w:hAnsi="Arial" w:cs="Arial"/>
                <w:sz w:val="24"/>
                <w:szCs w:val="24"/>
                <w:lang w:val="en-GB" w:eastAsia="en-GB"/>
              </w:rPr>
              <w:t xml:space="preserve"> costs will always tend to make private procurement more expensive. </w:t>
            </w:r>
            <w:r w:rsidR="00854047" w:rsidRPr="00854047">
              <w:rPr>
                <w:rFonts w:ascii="Arial" w:hAnsi="Arial" w:cs="Arial"/>
                <w:sz w:val="24"/>
                <w:szCs w:val="24"/>
                <w:lang w:val="en-GB" w:eastAsia="en-GB"/>
              </w:rPr>
              <w:t xml:space="preserve"> </w:t>
            </w:r>
          </w:p>
          <w:p w14:paraId="2ACE036E" w14:textId="77777777" w:rsidR="00093490" w:rsidRDefault="00093490" w:rsidP="00854047">
            <w:pPr>
              <w:rPr>
                <w:rFonts w:ascii="Arial" w:hAnsi="Arial" w:cs="Arial"/>
                <w:sz w:val="24"/>
                <w:szCs w:val="24"/>
                <w:lang w:val="en-GB" w:eastAsia="en-GB"/>
              </w:rPr>
            </w:pPr>
          </w:p>
          <w:p w14:paraId="043BA52A" w14:textId="030FB69E" w:rsidR="00093490" w:rsidRPr="00854047" w:rsidRDefault="00093490" w:rsidP="00854047">
            <w:pPr>
              <w:rPr>
                <w:rFonts w:ascii="Arial" w:hAnsi="Arial" w:cs="Arial"/>
                <w:sz w:val="24"/>
                <w:szCs w:val="24"/>
                <w:lang w:val="en-GB" w:eastAsia="en-GB"/>
              </w:rPr>
            </w:pPr>
          </w:p>
        </w:tc>
      </w:tr>
      <w:tr w:rsidR="00854047" w:rsidRPr="00854047" w14:paraId="7FA03122" w14:textId="77777777" w:rsidTr="006304F3">
        <w:tc>
          <w:tcPr>
            <w:tcW w:w="0" w:type="auto"/>
          </w:tcPr>
          <w:p w14:paraId="3A34E7CA"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3</w:t>
            </w:r>
          </w:p>
        </w:tc>
        <w:tc>
          <w:tcPr>
            <w:tcW w:w="1777" w:type="dxa"/>
          </w:tcPr>
          <w:p w14:paraId="1AACF1CC"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Transaction and monitoring costs</w:t>
            </w:r>
          </w:p>
        </w:tc>
        <w:tc>
          <w:tcPr>
            <w:tcW w:w="3539" w:type="dxa"/>
          </w:tcPr>
          <w:p w14:paraId="77C4E889"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Large amounts spent on consultants and other bid costs that ultimately are passed back to public client (£450m in case of London Tube PPP).</w:t>
            </w:r>
          </w:p>
          <w:p w14:paraId="5819D045" w14:textId="77777777" w:rsidR="00854047" w:rsidRPr="00854047" w:rsidRDefault="00854047" w:rsidP="00854047">
            <w:pPr>
              <w:rPr>
                <w:rFonts w:ascii="Arial" w:hAnsi="Arial" w:cs="Arial"/>
                <w:sz w:val="24"/>
                <w:szCs w:val="24"/>
                <w:lang w:val="en-GB" w:eastAsia="en-GB"/>
              </w:rPr>
            </w:pPr>
          </w:p>
          <w:p w14:paraId="2DD8870E" w14:textId="77777777" w:rsidR="00195518" w:rsidRDefault="00195518" w:rsidP="00854047">
            <w:pPr>
              <w:rPr>
                <w:rFonts w:ascii="Arial" w:hAnsi="Arial" w:cs="Arial"/>
                <w:sz w:val="24"/>
                <w:szCs w:val="24"/>
                <w:lang w:val="en-GB" w:eastAsia="en-GB"/>
              </w:rPr>
            </w:pPr>
          </w:p>
          <w:p w14:paraId="3B28DF6B" w14:textId="77777777" w:rsidR="00195518" w:rsidRDefault="00195518" w:rsidP="00854047">
            <w:pPr>
              <w:rPr>
                <w:rFonts w:ascii="Arial" w:hAnsi="Arial" w:cs="Arial"/>
                <w:sz w:val="24"/>
                <w:szCs w:val="24"/>
                <w:lang w:val="en-GB" w:eastAsia="en-GB"/>
              </w:rPr>
            </w:pPr>
          </w:p>
          <w:p w14:paraId="3C31C837" w14:textId="77777777" w:rsidR="00195518" w:rsidRDefault="00195518" w:rsidP="00854047">
            <w:pPr>
              <w:rPr>
                <w:rFonts w:ascii="Arial" w:hAnsi="Arial" w:cs="Arial"/>
                <w:sz w:val="24"/>
                <w:szCs w:val="24"/>
                <w:lang w:val="en-GB" w:eastAsia="en-GB"/>
              </w:rPr>
            </w:pPr>
          </w:p>
          <w:p w14:paraId="55C5972E" w14:textId="77777777" w:rsidR="001E55B7" w:rsidRDefault="001E55B7" w:rsidP="00854047">
            <w:pPr>
              <w:rPr>
                <w:rFonts w:ascii="Arial" w:hAnsi="Arial" w:cs="Arial"/>
                <w:sz w:val="24"/>
                <w:szCs w:val="24"/>
                <w:lang w:val="en-GB" w:eastAsia="en-GB"/>
              </w:rPr>
            </w:pPr>
          </w:p>
          <w:p w14:paraId="40E9EA5A" w14:textId="77777777" w:rsidR="001E55B7" w:rsidRDefault="001E55B7" w:rsidP="00854047">
            <w:pPr>
              <w:rPr>
                <w:rFonts w:ascii="Arial" w:hAnsi="Arial" w:cs="Arial"/>
                <w:sz w:val="24"/>
                <w:szCs w:val="24"/>
                <w:lang w:val="en-GB" w:eastAsia="en-GB"/>
              </w:rPr>
            </w:pPr>
          </w:p>
          <w:p w14:paraId="1C0C6F81" w14:textId="77777777" w:rsidR="001E55B7" w:rsidRDefault="001E55B7" w:rsidP="00854047">
            <w:pPr>
              <w:rPr>
                <w:rFonts w:ascii="Arial" w:hAnsi="Arial" w:cs="Arial"/>
                <w:sz w:val="24"/>
                <w:szCs w:val="24"/>
                <w:lang w:val="en-GB" w:eastAsia="en-GB"/>
              </w:rPr>
            </w:pPr>
          </w:p>
          <w:p w14:paraId="3DCDB151" w14:textId="77777777" w:rsidR="001E55B7" w:rsidRDefault="001E55B7" w:rsidP="00854047">
            <w:pPr>
              <w:rPr>
                <w:rFonts w:ascii="Arial" w:hAnsi="Arial" w:cs="Arial"/>
                <w:sz w:val="24"/>
                <w:szCs w:val="24"/>
                <w:lang w:val="en-GB" w:eastAsia="en-GB"/>
              </w:rPr>
            </w:pPr>
          </w:p>
          <w:p w14:paraId="7157D4AF" w14:textId="241E69CD"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Public client must establish monitoring arrangements that </w:t>
            </w:r>
            <w:r w:rsidRPr="00854047">
              <w:rPr>
                <w:rFonts w:ascii="Arial" w:hAnsi="Arial" w:cs="Arial"/>
                <w:sz w:val="24"/>
                <w:szCs w:val="24"/>
                <w:lang w:val="en-GB" w:eastAsia="en-GB"/>
              </w:rPr>
              <w:lastRenderedPageBreak/>
              <w:t>then add to the cost of the scheme</w:t>
            </w:r>
            <w:r w:rsidR="001E55B7">
              <w:rPr>
                <w:rFonts w:ascii="Arial" w:hAnsi="Arial" w:cs="Arial"/>
                <w:sz w:val="24"/>
                <w:szCs w:val="24"/>
                <w:lang w:val="en-GB" w:eastAsia="en-GB"/>
              </w:rPr>
              <w:t xml:space="preserve">, which can be over complicated, cumbersome, and difficult to apply at proportionate cost. </w:t>
            </w:r>
          </w:p>
          <w:p w14:paraId="518733CF" w14:textId="77777777" w:rsidR="00854047" w:rsidRPr="00854047" w:rsidRDefault="00854047" w:rsidP="00854047">
            <w:pPr>
              <w:rPr>
                <w:rFonts w:ascii="Arial" w:hAnsi="Arial" w:cs="Arial"/>
                <w:sz w:val="24"/>
                <w:szCs w:val="24"/>
                <w:lang w:val="en-GB" w:eastAsia="en-GB"/>
              </w:rPr>
            </w:pPr>
          </w:p>
          <w:p w14:paraId="3C352742" w14:textId="77777777" w:rsidR="00706290" w:rsidRDefault="00706290" w:rsidP="00854047">
            <w:pPr>
              <w:rPr>
                <w:rFonts w:ascii="Arial" w:hAnsi="Arial" w:cs="Arial"/>
                <w:sz w:val="24"/>
                <w:szCs w:val="24"/>
                <w:lang w:val="en-GB" w:eastAsia="en-GB"/>
              </w:rPr>
            </w:pPr>
          </w:p>
          <w:p w14:paraId="4ADB7E51" w14:textId="3F0C4C11" w:rsidR="00854047" w:rsidRPr="00854047" w:rsidRDefault="00854047" w:rsidP="00854047">
            <w:pPr>
              <w:rPr>
                <w:rFonts w:ascii="Arial" w:hAnsi="Arial" w:cs="Arial"/>
                <w:sz w:val="24"/>
                <w:szCs w:val="24"/>
                <w:lang w:val="en-GB" w:eastAsia="en-GB"/>
              </w:rPr>
            </w:pPr>
          </w:p>
        </w:tc>
        <w:tc>
          <w:tcPr>
            <w:tcW w:w="3622" w:type="dxa"/>
          </w:tcPr>
          <w:p w14:paraId="6189B567"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lastRenderedPageBreak/>
              <w:t>Development of standardised documentation and procurement templates should help to reduce project transaction costs as successful models are replicated and both client and contractors become more familiar with the process.</w:t>
            </w:r>
          </w:p>
          <w:p w14:paraId="7B01114C" w14:textId="77777777" w:rsidR="00854047" w:rsidRPr="00854047" w:rsidRDefault="00854047" w:rsidP="00854047">
            <w:pPr>
              <w:rPr>
                <w:rFonts w:ascii="Arial" w:hAnsi="Arial" w:cs="Arial"/>
                <w:sz w:val="24"/>
                <w:szCs w:val="24"/>
                <w:lang w:val="en-GB" w:eastAsia="en-GB"/>
              </w:rPr>
            </w:pPr>
          </w:p>
          <w:p w14:paraId="73018B7D" w14:textId="6DE3E7A6" w:rsidR="00854047" w:rsidRPr="00854047" w:rsidRDefault="005402FC" w:rsidP="00854047">
            <w:pPr>
              <w:rPr>
                <w:rFonts w:ascii="Arial" w:hAnsi="Arial" w:cs="Arial"/>
                <w:sz w:val="24"/>
                <w:szCs w:val="24"/>
                <w:lang w:val="en-GB" w:eastAsia="en-GB"/>
              </w:rPr>
            </w:pPr>
            <w:r>
              <w:rPr>
                <w:rFonts w:ascii="Arial" w:hAnsi="Arial" w:cs="Arial"/>
                <w:sz w:val="24"/>
                <w:szCs w:val="24"/>
                <w:lang w:val="en-GB" w:eastAsia="en-GB"/>
              </w:rPr>
              <w:t>T</w:t>
            </w:r>
            <w:r w:rsidRPr="00854047">
              <w:rPr>
                <w:rFonts w:ascii="Arial" w:hAnsi="Arial" w:cs="Arial"/>
                <w:sz w:val="24"/>
                <w:szCs w:val="24"/>
                <w:lang w:val="en-GB" w:eastAsia="en-GB"/>
              </w:rPr>
              <w:t>he proportion of total costs taken by transaction costs</w:t>
            </w:r>
            <w:r w:rsidR="004A7CD3">
              <w:rPr>
                <w:rFonts w:ascii="Arial" w:hAnsi="Arial" w:cs="Arial"/>
                <w:sz w:val="24"/>
                <w:szCs w:val="24"/>
                <w:lang w:val="en-GB" w:eastAsia="en-GB"/>
              </w:rPr>
              <w:t xml:space="preserve"> s</w:t>
            </w:r>
            <w:r w:rsidR="00706290">
              <w:rPr>
                <w:rFonts w:ascii="Arial" w:hAnsi="Arial" w:cs="Arial"/>
                <w:sz w:val="24"/>
                <w:szCs w:val="24"/>
                <w:lang w:val="en-GB" w:eastAsia="en-GB"/>
              </w:rPr>
              <w:t>hould reduce with the scale of the project</w:t>
            </w:r>
            <w:r w:rsidR="00854047" w:rsidRPr="00854047">
              <w:rPr>
                <w:rFonts w:ascii="Arial" w:hAnsi="Arial" w:cs="Arial"/>
                <w:sz w:val="24"/>
                <w:szCs w:val="24"/>
                <w:lang w:val="en-GB" w:eastAsia="en-GB"/>
              </w:rPr>
              <w:t>.</w:t>
            </w:r>
          </w:p>
          <w:p w14:paraId="1D51366B" w14:textId="77777777" w:rsidR="00854047" w:rsidRPr="00854047" w:rsidRDefault="00854047" w:rsidP="00854047">
            <w:pPr>
              <w:rPr>
                <w:rFonts w:ascii="Arial" w:hAnsi="Arial" w:cs="Arial"/>
                <w:sz w:val="24"/>
                <w:szCs w:val="24"/>
                <w:lang w:val="en-GB" w:eastAsia="en-GB"/>
              </w:rPr>
            </w:pPr>
          </w:p>
          <w:p w14:paraId="4FA17206" w14:textId="0442E468"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lastRenderedPageBreak/>
              <w:t>Monitoring arrangements should be based</w:t>
            </w:r>
            <w:r w:rsidR="004A7CD3">
              <w:rPr>
                <w:rFonts w:ascii="Arial" w:hAnsi="Arial" w:cs="Arial"/>
                <w:sz w:val="24"/>
                <w:szCs w:val="24"/>
                <w:lang w:val="en-GB" w:eastAsia="en-GB"/>
              </w:rPr>
              <w:t xml:space="preserve">, where appropriate and </w:t>
            </w:r>
            <w:r w:rsidR="00AC3685">
              <w:rPr>
                <w:rFonts w:ascii="Arial" w:hAnsi="Arial" w:cs="Arial"/>
                <w:sz w:val="24"/>
                <w:szCs w:val="24"/>
                <w:lang w:val="en-GB" w:eastAsia="en-GB"/>
              </w:rPr>
              <w:t xml:space="preserve">practicable, </w:t>
            </w:r>
            <w:r w:rsidR="00AC3685" w:rsidRPr="00854047">
              <w:rPr>
                <w:rFonts w:ascii="Arial" w:hAnsi="Arial" w:cs="Arial"/>
                <w:sz w:val="24"/>
                <w:szCs w:val="24"/>
                <w:lang w:val="en-GB" w:eastAsia="en-GB"/>
              </w:rPr>
              <w:t>on</w:t>
            </w:r>
            <w:r w:rsidRPr="00854047">
              <w:rPr>
                <w:rFonts w:ascii="Arial" w:hAnsi="Arial" w:cs="Arial"/>
                <w:sz w:val="24"/>
                <w:szCs w:val="24"/>
                <w:lang w:val="en-GB" w:eastAsia="en-GB"/>
              </w:rPr>
              <w:t xml:space="preserve"> </w:t>
            </w:r>
            <w:r w:rsidR="00E76BE5">
              <w:rPr>
                <w:rFonts w:ascii="Arial" w:hAnsi="Arial" w:cs="Arial"/>
                <w:sz w:val="24"/>
                <w:szCs w:val="24"/>
                <w:lang w:val="en-GB" w:eastAsia="en-GB"/>
              </w:rPr>
              <w:t xml:space="preserve">Supplier </w:t>
            </w:r>
            <w:r w:rsidRPr="00854047">
              <w:rPr>
                <w:rFonts w:ascii="Arial" w:hAnsi="Arial" w:cs="Arial"/>
                <w:sz w:val="24"/>
                <w:szCs w:val="24"/>
                <w:lang w:val="en-GB" w:eastAsia="en-GB"/>
              </w:rPr>
              <w:t>self</w:t>
            </w:r>
            <w:r w:rsidR="00706290">
              <w:rPr>
                <w:rFonts w:ascii="Arial" w:hAnsi="Arial" w:cs="Arial"/>
                <w:sz w:val="24"/>
                <w:szCs w:val="24"/>
                <w:lang w:val="en-GB" w:eastAsia="en-GB"/>
              </w:rPr>
              <w:t>-</w:t>
            </w:r>
            <w:r w:rsidRPr="00854047">
              <w:rPr>
                <w:rFonts w:ascii="Arial" w:hAnsi="Arial" w:cs="Arial"/>
                <w:sz w:val="24"/>
                <w:szCs w:val="24"/>
                <w:lang w:val="en-GB" w:eastAsia="en-GB"/>
              </w:rPr>
              <w:t>reporting and quality assurance</w:t>
            </w:r>
            <w:r w:rsidR="00E76BE5">
              <w:rPr>
                <w:rFonts w:ascii="Arial" w:hAnsi="Arial" w:cs="Arial"/>
                <w:sz w:val="24"/>
                <w:szCs w:val="24"/>
                <w:lang w:val="en-GB" w:eastAsia="en-GB"/>
              </w:rPr>
              <w:t xml:space="preserve">, verified </w:t>
            </w:r>
            <w:r w:rsidRPr="00854047">
              <w:rPr>
                <w:rFonts w:ascii="Arial" w:hAnsi="Arial" w:cs="Arial"/>
                <w:sz w:val="24"/>
                <w:szCs w:val="24"/>
                <w:lang w:val="en-GB" w:eastAsia="en-GB"/>
              </w:rPr>
              <w:t xml:space="preserve">by </w:t>
            </w:r>
            <w:r w:rsidR="00E76BE5">
              <w:rPr>
                <w:rFonts w:ascii="Arial" w:hAnsi="Arial" w:cs="Arial"/>
                <w:sz w:val="24"/>
                <w:szCs w:val="24"/>
                <w:lang w:val="en-GB" w:eastAsia="en-GB"/>
              </w:rPr>
              <w:t>C</w:t>
            </w:r>
            <w:r w:rsidRPr="00854047">
              <w:rPr>
                <w:rFonts w:ascii="Arial" w:hAnsi="Arial" w:cs="Arial"/>
                <w:sz w:val="24"/>
                <w:szCs w:val="24"/>
                <w:lang w:val="en-GB" w:eastAsia="en-GB"/>
              </w:rPr>
              <w:t>lient reality checking the delivery of defined service standards and outcomes</w:t>
            </w:r>
            <w:r w:rsidR="008D7A17">
              <w:rPr>
                <w:rFonts w:ascii="Arial" w:hAnsi="Arial" w:cs="Arial"/>
                <w:sz w:val="24"/>
                <w:szCs w:val="24"/>
                <w:lang w:val="en-GB" w:eastAsia="en-GB"/>
              </w:rPr>
              <w:t xml:space="preserve">, with robust rectification </w:t>
            </w:r>
            <w:r w:rsidR="00DE7BA5">
              <w:rPr>
                <w:rFonts w:ascii="Arial" w:hAnsi="Arial" w:cs="Arial"/>
                <w:sz w:val="24"/>
                <w:szCs w:val="24"/>
                <w:lang w:val="en-GB" w:eastAsia="en-GB"/>
              </w:rPr>
              <w:t xml:space="preserve">contractual </w:t>
            </w:r>
            <w:r w:rsidR="008D7A17">
              <w:rPr>
                <w:rFonts w:ascii="Arial" w:hAnsi="Arial" w:cs="Arial"/>
                <w:sz w:val="24"/>
                <w:szCs w:val="24"/>
                <w:lang w:val="en-GB" w:eastAsia="en-GB"/>
              </w:rPr>
              <w:t>process</w:t>
            </w:r>
            <w:r w:rsidR="00DE7BA5">
              <w:rPr>
                <w:rFonts w:ascii="Arial" w:hAnsi="Arial" w:cs="Arial"/>
                <w:sz w:val="24"/>
                <w:szCs w:val="24"/>
                <w:lang w:val="en-GB" w:eastAsia="en-GB"/>
              </w:rPr>
              <w:t xml:space="preserve"> linked to Supplier-</w:t>
            </w:r>
            <w:r w:rsidR="009306CA">
              <w:rPr>
                <w:rFonts w:ascii="Arial" w:hAnsi="Arial" w:cs="Arial"/>
                <w:sz w:val="24"/>
                <w:szCs w:val="24"/>
                <w:lang w:val="en-GB" w:eastAsia="en-GB"/>
              </w:rPr>
              <w:t>fault default and termination provisions.</w:t>
            </w:r>
            <w:r w:rsidRPr="00854047">
              <w:rPr>
                <w:rFonts w:ascii="Arial" w:hAnsi="Arial" w:cs="Arial"/>
                <w:sz w:val="24"/>
                <w:szCs w:val="24"/>
                <w:lang w:val="en-GB" w:eastAsia="en-GB"/>
              </w:rPr>
              <w:t xml:space="preserve"> </w:t>
            </w:r>
          </w:p>
        </w:tc>
      </w:tr>
      <w:tr w:rsidR="00854047" w:rsidRPr="00854047" w14:paraId="4A43597A" w14:textId="77777777" w:rsidTr="006304F3">
        <w:tc>
          <w:tcPr>
            <w:tcW w:w="0" w:type="auto"/>
          </w:tcPr>
          <w:p w14:paraId="3F89E734"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lastRenderedPageBreak/>
              <w:t>4</w:t>
            </w:r>
          </w:p>
        </w:tc>
        <w:tc>
          <w:tcPr>
            <w:tcW w:w="1777" w:type="dxa"/>
          </w:tcPr>
          <w:p w14:paraId="2877877D" w14:textId="4B21068F"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Termination risk</w:t>
            </w:r>
          </w:p>
        </w:tc>
        <w:tc>
          <w:tcPr>
            <w:tcW w:w="3539" w:type="dxa"/>
          </w:tcPr>
          <w:p w14:paraId="0C9598D6"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Risk of expensive termination costs linked to a change in client requirements over contract term: for example, a hospital or school becoming surplus to requirements. </w:t>
            </w:r>
          </w:p>
          <w:p w14:paraId="6214F5B9" w14:textId="110DA634" w:rsidR="00854047" w:rsidRPr="00854047" w:rsidRDefault="00513601" w:rsidP="00854047">
            <w:pPr>
              <w:rPr>
                <w:rFonts w:ascii="Arial" w:hAnsi="Arial" w:cs="Arial"/>
                <w:sz w:val="24"/>
                <w:szCs w:val="24"/>
                <w:lang w:val="en-GB" w:eastAsia="en-GB"/>
              </w:rPr>
            </w:pPr>
            <w:r>
              <w:rPr>
                <w:rFonts w:ascii="Arial" w:hAnsi="Arial" w:cs="Arial"/>
                <w:sz w:val="24"/>
                <w:szCs w:val="24"/>
                <w:lang w:val="en-GB" w:eastAsia="en-GB"/>
              </w:rPr>
              <w:t xml:space="preserve"> </w:t>
            </w:r>
          </w:p>
          <w:p w14:paraId="4F6B6CDA" w14:textId="77777777" w:rsidR="007D595E" w:rsidRDefault="007D595E" w:rsidP="00854047">
            <w:pPr>
              <w:rPr>
                <w:rFonts w:ascii="Arial" w:hAnsi="Arial" w:cs="Arial"/>
                <w:sz w:val="24"/>
                <w:szCs w:val="24"/>
                <w:lang w:val="en-GB" w:eastAsia="en-GB"/>
              </w:rPr>
            </w:pPr>
          </w:p>
          <w:p w14:paraId="61C5D784" w14:textId="0C73BECD" w:rsidR="00B43E0F" w:rsidRDefault="00854047" w:rsidP="00854047">
            <w:pPr>
              <w:rPr>
                <w:rFonts w:ascii="Arial" w:hAnsi="Arial" w:cs="Arial"/>
                <w:sz w:val="24"/>
                <w:szCs w:val="24"/>
                <w:lang w:val="en-GB" w:eastAsia="en-GB"/>
              </w:rPr>
            </w:pPr>
            <w:r w:rsidRPr="00854047">
              <w:rPr>
                <w:rFonts w:ascii="Arial" w:hAnsi="Arial" w:cs="Arial"/>
                <w:sz w:val="24"/>
                <w:szCs w:val="24"/>
                <w:lang w:val="en-GB" w:eastAsia="en-GB"/>
              </w:rPr>
              <w:t>Change-in-law and policy risk</w:t>
            </w:r>
            <w:r w:rsidR="00130523">
              <w:rPr>
                <w:rFonts w:ascii="Arial" w:hAnsi="Arial" w:cs="Arial"/>
                <w:sz w:val="24"/>
                <w:szCs w:val="24"/>
                <w:lang w:val="en-GB" w:eastAsia="en-GB"/>
              </w:rPr>
              <w:t>.</w:t>
            </w:r>
            <w:r w:rsidR="00B43E0F">
              <w:rPr>
                <w:rFonts w:ascii="Arial" w:hAnsi="Arial" w:cs="Arial"/>
                <w:sz w:val="24"/>
                <w:szCs w:val="24"/>
                <w:lang w:val="en-GB" w:eastAsia="en-GB"/>
              </w:rPr>
              <w:t xml:space="preserve">  </w:t>
            </w:r>
          </w:p>
          <w:p w14:paraId="0DD6A893" w14:textId="77777777" w:rsidR="00B43E0F" w:rsidRDefault="00B43E0F" w:rsidP="00854047">
            <w:pPr>
              <w:rPr>
                <w:rFonts w:ascii="Arial" w:hAnsi="Arial" w:cs="Arial"/>
                <w:sz w:val="24"/>
                <w:szCs w:val="24"/>
                <w:lang w:val="en-GB" w:eastAsia="en-GB"/>
              </w:rPr>
            </w:pPr>
          </w:p>
          <w:p w14:paraId="5D67D9A6" w14:textId="3DD93C33" w:rsidR="00AA1211" w:rsidRDefault="00B43E0F" w:rsidP="00854047">
            <w:pPr>
              <w:rPr>
                <w:rFonts w:ascii="Arial" w:hAnsi="Arial" w:cs="Arial"/>
                <w:sz w:val="24"/>
                <w:szCs w:val="24"/>
                <w:lang w:val="en-GB" w:eastAsia="en-GB"/>
              </w:rPr>
            </w:pPr>
            <w:r>
              <w:rPr>
                <w:rFonts w:ascii="Arial" w:hAnsi="Arial" w:cs="Arial"/>
                <w:sz w:val="24"/>
                <w:szCs w:val="24"/>
                <w:lang w:val="en-GB" w:eastAsia="en-GB"/>
              </w:rPr>
              <w:t xml:space="preserve">Future financial and service delivery autonomy of Foundation Schools, Academies </w:t>
            </w:r>
            <w:r w:rsidR="0019463C">
              <w:rPr>
                <w:rFonts w:ascii="Arial" w:hAnsi="Arial" w:cs="Arial"/>
                <w:sz w:val="24"/>
                <w:szCs w:val="24"/>
                <w:lang w:val="en-GB" w:eastAsia="en-GB"/>
              </w:rPr>
              <w:t xml:space="preserve">and Hospital Trusts </w:t>
            </w:r>
            <w:r w:rsidR="00130523">
              <w:rPr>
                <w:rFonts w:ascii="Arial" w:hAnsi="Arial" w:cs="Arial"/>
                <w:sz w:val="24"/>
                <w:szCs w:val="24"/>
                <w:lang w:val="en-GB" w:eastAsia="en-GB"/>
              </w:rPr>
              <w:t xml:space="preserve">can </w:t>
            </w:r>
            <w:r w:rsidR="0019463C">
              <w:rPr>
                <w:rFonts w:ascii="Arial" w:hAnsi="Arial" w:cs="Arial"/>
                <w:sz w:val="24"/>
                <w:szCs w:val="24"/>
                <w:lang w:val="en-GB" w:eastAsia="en-GB"/>
              </w:rPr>
              <w:t xml:space="preserve">prove </w:t>
            </w:r>
            <w:r w:rsidR="0019463C" w:rsidRPr="00854047">
              <w:rPr>
                <w:rFonts w:ascii="Arial" w:hAnsi="Arial" w:cs="Arial"/>
                <w:sz w:val="24"/>
                <w:szCs w:val="24"/>
                <w:lang w:val="en-GB" w:eastAsia="en-GB"/>
              </w:rPr>
              <w:t>inconsistent</w:t>
            </w:r>
            <w:r w:rsidR="00854047" w:rsidRPr="00854047">
              <w:rPr>
                <w:rFonts w:ascii="Arial" w:hAnsi="Arial" w:cs="Arial"/>
                <w:sz w:val="24"/>
                <w:szCs w:val="24"/>
                <w:lang w:val="en-GB" w:eastAsia="en-GB"/>
              </w:rPr>
              <w:t xml:space="preserve"> with PFI </w:t>
            </w:r>
            <w:r w:rsidR="0019463C">
              <w:rPr>
                <w:rFonts w:ascii="Arial" w:hAnsi="Arial" w:cs="Arial"/>
                <w:sz w:val="24"/>
                <w:szCs w:val="24"/>
                <w:lang w:val="en-GB" w:eastAsia="en-GB"/>
              </w:rPr>
              <w:t xml:space="preserve">provision and </w:t>
            </w:r>
            <w:r w:rsidR="00854047" w:rsidRPr="00854047">
              <w:rPr>
                <w:rFonts w:ascii="Arial" w:hAnsi="Arial" w:cs="Arial"/>
                <w:sz w:val="24"/>
                <w:szCs w:val="24"/>
                <w:lang w:val="en-GB" w:eastAsia="en-GB"/>
              </w:rPr>
              <w:t xml:space="preserve">funding. </w:t>
            </w:r>
          </w:p>
          <w:p w14:paraId="7B8B7FD1" w14:textId="77777777" w:rsidR="00AA1211" w:rsidRDefault="00AA1211" w:rsidP="00854047">
            <w:pPr>
              <w:rPr>
                <w:rFonts w:ascii="Arial" w:hAnsi="Arial" w:cs="Arial"/>
                <w:sz w:val="24"/>
                <w:szCs w:val="24"/>
                <w:lang w:val="en-GB" w:eastAsia="en-GB"/>
              </w:rPr>
            </w:pPr>
          </w:p>
          <w:p w14:paraId="31C2996B" w14:textId="618073B2"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The long-term liability of a PFI unitary charge </w:t>
            </w:r>
            <w:r w:rsidR="00811947">
              <w:rPr>
                <w:rFonts w:ascii="Arial" w:hAnsi="Arial" w:cs="Arial"/>
                <w:sz w:val="24"/>
                <w:szCs w:val="24"/>
                <w:lang w:val="en-GB" w:eastAsia="en-GB"/>
              </w:rPr>
              <w:t xml:space="preserve">has proved </w:t>
            </w:r>
            <w:r w:rsidRPr="00854047">
              <w:rPr>
                <w:rFonts w:ascii="Arial" w:hAnsi="Arial" w:cs="Arial"/>
                <w:sz w:val="24"/>
                <w:szCs w:val="24"/>
                <w:lang w:val="en-GB" w:eastAsia="en-GB"/>
              </w:rPr>
              <w:t xml:space="preserve">inconsistent with a dynamic market environment where a failed school can be forced to close - unless the risks of such liabilities can be pooled or otherwise managed. </w:t>
            </w:r>
          </w:p>
          <w:p w14:paraId="11847085" w14:textId="77777777" w:rsidR="00854047" w:rsidRPr="00854047" w:rsidRDefault="00854047" w:rsidP="00854047">
            <w:pPr>
              <w:rPr>
                <w:rFonts w:ascii="Arial" w:hAnsi="Arial" w:cs="Arial"/>
                <w:sz w:val="24"/>
                <w:szCs w:val="24"/>
                <w:lang w:val="en-GB" w:eastAsia="en-GB"/>
              </w:rPr>
            </w:pPr>
          </w:p>
        </w:tc>
        <w:tc>
          <w:tcPr>
            <w:tcW w:w="3622" w:type="dxa"/>
          </w:tcPr>
          <w:p w14:paraId="20DD5F35" w14:textId="272D35C0"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Need for robust public sector planning and risk analysis at strategic and outline business case stages</w:t>
            </w:r>
            <w:r w:rsidR="009A5557">
              <w:rPr>
                <w:rFonts w:ascii="Arial" w:hAnsi="Arial" w:cs="Arial"/>
                <w:sz w:val="24"/>
                <w:szCs w:val="24"/>
                <w:lang w:val="en-GB" w:eastAsia="en-GB"/>
              </w:rPr>
              <w:t xml:space="preserve">, covering </w:t>
            </w:r>
            <w:r w:rsidR="007D595E">
              <w:rPr>
                <w:rFonts w:ascii="Arial" w:hAnsi="Arial" w:cs="Arial"/>
                <w:sz w:val="24"/>
                <w:szCs w:val="24"/>
                <w:lang w:val="en-GB" w:eastAsia="en-GB"/>
              </w:rPr>
              <w:t>project development, construction, operation, and handbook stages.</w:t>
            </w:r>
          </w:p>
          <w:p w14:paraId="679A3344" w14:textId="77777777" w:rsidR="00854047" w:rsidRPr="00854047" w:rsidRDefault="00854047" w:rsidP="00854047">
            <w:pPr>
              <w:rPr>
                <w:rFonts w:ascii="Arial" w:hAnsi="Arial" w:cs="Arial"/>
                <w:sz w:val="24"/>
                <w:szCs w:val="24"/>
                <w:lang w:val="en-GB" w:eastAsia="en-GB"/>
              </w:rPr>
            </w:pPr>
          </w:p>
          <w:p w14:paraId="21ADAEB1" w14:textId="77777777" w:rsidR="00854047" w:rsidRPr="00854047" w:rsidRDefault="00854047" w:rsidP="00854047">
            <w:pPr>
              <w:rPr>
                <w:rFonts w:ascii="Arial" w:hAnsi="Arial" w:cs="Arial"/>
                <w:sz w:val="24"/>
                <w:szCs w:val="24"/>
                <w:lang w:val="en-GB" w:eastAsia="en-GB"/>
              </w:rPr>
            </w:pPr>
          </w:p>
          <w:p w14:paraId="595CE035" w14:textId="77777777" w:rsidR="00130523" w:rsidRDefault="00130523" w:rsidP="00854047">
            <w:pPr>
              <w:rPr>
                <w:rFonts w:ascii="Arial" w:hAnsi="Arial" w:cs="Arial"/>
                <w:sz w:val="24"/>
                <w:szCs w:val="24"/>
                <w:lang w:val="en-GB" w:eastAsia="en-GB"/>
              </w:rPr>
            </w:pPr>
          </w:p>
          <w:p w14:paraId="78374E17" w14:textId="77777777" w:rsidR="003E4035" w:rsidRDefault="003E4035" w:rsidP="00854047">
            <w:pPr>
              <w:rPr>
                <w:rFonts w:ascii="Arial" w:hAnsi="Arial" w:cs="Arial"/>
                <w:sz w:val="24"/>
                <w:szCs w:val="24"/>
                <w:lang w:val="en-GB" w:eastAsia="en-GB"/>
              </w:rPr>
            </w:pPr>
          </w:p>
          <w:p w14:paraId="47276B5F" w14:textId="77777777" w:rsidR="003E4035" w:rsidRDefault="003E4035" w:rsidP="00854047">
            <w:pPr>
              <w:rPr>
                <w:rFonts w:ascii="Arial" w:hAnsi="Arial" w:cs="Arial"/>
                <w:sz w:val="24"/>
                <w:szCs w:val="24"/>
                <w:lang w:val="en-GB" w:eastAsia="en-GB"/>
              </w:rPr>
            </w:pPr>
          </w:p>
          <w:p w14:paraId="183E8B37" w14:textId="7F1A727D" w:rsidR="00854047" w:rsidRDefault="003E4035" w:rsidP="00854047">
            <w:pPr>
              <w:rPr>
                <w:rFonts w:ascii="Arial" w:hAnsi="Arial" w:cs="Arial"/>
                <w:sz w:val="24"/>
                <w:szCs w:val="24"/>
                <w:lang w:val="en-GB" w:eastAsia="en-GB"/>
              </w:rPr>
            </w:pPr>
            <w:r>
              <w:rPr>
                <w:rFonts w:ascii="Arial" w:hAnsi="Arial" w:cs="Arial"/>
                <w:sz w:val="24"/>
                <w:szCs w:val="24"/>
                <w:lang w:val="en-GB" w:eastAsia="en-GB"/>
              </w:rPr>
              <w:t xml:space="preserve">Identify where </w:t>
            </w:r>
            <w:r w:rsidR="00854047" w:rsidRPr="00854047">
              <w:rPr>
                <w:rFonts w:ascii="Arial" w:hAnsi="Arial" w:cs="Arial"/>
                <w:sz w:val="24"/>
                <w:szCs w:val="24"/>
                <w:lang w:val="en-GB" w:eastAsia="en-GB"/>
              </w:rPr>
              <w:t>contract flexibility</w:t>
            </w:r>
            <w:r>
              <w:rPr>
                <w:rFonts w:ascii="Arial" w:hAnsi="Arial" w:cs="Arial"/>
                <w:sz w:val="24"/>
                <w:szCs w:val="24"/>
                <w:lang w:val="en-GB" w:eastAsia="en-GB"/>
              </w:rPr>
              <w:t xml:space="preserve"> could be important during contract-</w:t>
            </w:r>
            <w:r w:rsidR="00AC3685">
              <w:rPr>
                <w:rFonts w:ascii="Arial" w:hAnsi="Arial" w:cs="Arial"/>
                <w:sz w:val="24"/>
                <w:szCs w:val="24"/>
                <w:lang w:val="en-GB" w:eastAsia="en-GB"/>
              </w:rPr>
              <w:t>life and</w:t>
            </w:r>
            <w:r>
              <w:rPr>
                <w:rFonts w:ascii="Arial" w:hAnsi="Arial" w:cs="Arial"/>
                <w:sz w:val="24"/>
                <w:szCs w:val="24"/>
                <w:lang w:val="en-GB" w:eastAsia="en-GB"/>
              </w:rPr>
              <w:t xml:space="preserve"> reflect in </w:t>
            </w:r>
            <w:r w:rsidR="004858FF">
              <w:rPr>
                <w:rFonts w:ascii="Arial" w:hAnsi="Arial" w:cs="Arial"/>
                <w:sz w:val="24"/>
                <w:szCs w:val="24"/>
                <w:lang w:val="en-GB" w:eastAsia="en-GB"/>
              </w:rPr>
              <w:t>doc</w:t>
            </w:r>
            <w:r w:rsidR="00854047" w:rsidRPr="00854047">
              <w:rPr>
                <w:rFonts w:ascii="Arial" w:hAnsi="Arial" w:cs="Arial"/>
                <w:sz w:val="24"/>
                <w:szCs w:val="24"/>
                <w:lang w:val="en-GB" w:eastAsia="en-GB"/>
              </w:rPr>
              <w:t>umentation.</w:t>
            </w:r>
          </w:p>
          <w:p w14:paraId="7ABB2456" w14:textId="77777777" w:rsidR="00BA4C4A" w:rsidRDefault="00BA4C4A" w:rsidP="00854047">
            <w:pPr>
              <w:rPr>
                <w:rFonts w:ascii="Arial" w:hAnsi="Arial" w:cs="Arial"/>
                <w:sz w:val="24"/>
                <w:szCs w:val="24"/>
                <w:lang w:val="en-GB" w:eastAsia="en-GB"/>
              </w:rPr>
            </w:pPr>
          </w:p>
          <w:p w14:paraId="2C8FAF9D" w14:textId="77777777" w:rsidR="00BA4C4A" w:rsidRDefault="00BA4C4A" w:rsidP="00854047">
            <w:pPr>
              <w:rPr>
                <w:rFonts w:ascii="Arial" w:hAnsi="Arial" w:cs="Arial"/>
                <w:sz w:val="24"/>
                <w:szCs w:val="24"/>
                <w:lang w:val="en-GB" w:eastAsia="en-GB"/>
              </w:rPr>
            </w:pPr>
          </w:p>
          <w:p w14:paraId="2536D757" w14:textId="77777777" w:rsidR="004858FF" w:rsidRDefault="004858FF" w:rsidP="00854047">
            <w:pPr>
              <w:rPr>
                <w:rFonts w:ascii="Arial" w:hAnsi="Arial" w:cs="Arial"/>
                <w:sz w:val="24"/>
                <w:szCs w:val="24"/>
                <w:lang w:val="en-GB" w:eastAsia="en-GB"/>
              </w:rPr>
            </w:pPr>
          </w:p>
          <w:p w14:paraId="68F88D79" w14:textId="77777777" w:rsidR="004858FF" w:rsidRDefault="004858FF" w:rsidP="00854047">
            <w:pPr>
              <w:rPr>
                <w:rFonts w:ascii="Arial" w:hAnsi="Arial" w:cs="Arial"/>
                <w:sz w:val="24"/>
                <w:szCs w:val="24"/>
                <w:lang w:val="en-GB" w:eastAsia="en-GB"/>
              </w:rPr>
            </w:pPr>
          </w:p>
          <w:p w14:paraId="1F1380DD" w14:textId="43EFFE38" w:rsidR="00BA4C4A" w:rsidRPr="00854047" w:rsidRDefault="00BA4C4A" w:rsidP="00854047">
            <w:pPr>
              <w:rPr>
                <w:rFonts w:ascii="Arial" w:hAnsi="Arial" w:cs="Arial"/>
                <w:sz w:val="24"/>
                <w:szCs w:val="24"/>
                <w:lang w:val="en-GB" w:eastAsia="en-GB"/>
              </w:rPr>
            </w:pPr>
            <w:r>
              <w:rPr>
                <w:rFonts w:ascii="Arial" w:hAnsi="Arial" w:cs="Arial"/>
                <w:sz w:val="24"/>
                <w:szCs w:val="24"/>
                <w:lang w:val="en-GB" w:eastAsia="en-GB"/>
              </w:rPr>
              <w:t>Termination costs of PFI contracts onerous</w:t>
            </w:r>
            <w:r w:rsidR="0076579B">
              <w:rPr>
                <w:rFonts w:ascii="Arial" w:hAnsi="Arial" w:cs="Arial"/>
                <w:sz w:val="24"/>
                <w:szCs w:val="24"/>
                <w:lang w:val="en-GB" w:eastAsia="en-GB"/>
              </w:rPr>
              <w:t xml:space="preserve">, even catastrophic to Client budgets. </w:t>
            </w:r>
          </w:p>
        </w:tc>
      </w:tr>
      <w:tr w:rsidR="00854047" w:rsidRPr="00854047" w14:paraId="1E8D8076" w14:textId="77777777" w:rsidTr="006304F3">
        <w:tc>
          <w:tcPr>
            <w:tcW w:w="0" w:type="auto"/>
          </w:tcPr>
          <w:p w14:paraId="14CC8A32"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5</w:t>
            </w:r>
          </w:p>
        </w:tc>
        <w:tc>
          <w:tcPr>
            <w:tcW w:w="1777" w:type="dxa"/>
          </w:tcPr>
          <w:p w14:paraId="05DE50B9" w14:textId="482FFD65" w:rsidR="00854047" w:rsidRPr="00854047" w:rsidRDefault="00A73E16" w:rsidP="00854047">
            <w:pPr>
              <w:rPr>
                <w:rFonts w:ascii="Arial" w:hAnsi="Arial" w:cs="Arial"/>
                <w:b/>
                <w:sz w:val="24"/>
                <w:szCs w:val="24"/>
                <w:lang w:val="en-GB" w:eastAsia="en-GB"/>
              </w:rPr>
            </w:pPr>
            <w:r>
              <w:rPr>
                <w:rFonts w:ascii="Arial" w:hAnsi="Arial" w:cs="Arial"/>
                <w:b/>
                <w:sz w:val="24"/>
                <w:szCs w:val="24"/>
                <w:lang w:val="en-GB" w:eastAsia="en-GB"/>
              </w:rPr>
              <w:t xml:space="preserve">Economic and Social Sustainability </w:t>
            </w:r>
          </w:p>
        </w:tc>
        <w:tc>
          <w:tcPr>
            <w:tcW w:w="3539" w:type="dxa"/>
          </w:tcPr>
          <w:p w14:paraId="3CCB714B" w14:textId="17C2B199"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Some early evidence of use of casualised labour employed on inferior insecure terms (health service ancillary and cleaning staff) relative to former public sector terms with little o</w:t>
            </w:r>
            <w:r w:rsidR="006859FA">
              <w:rPr>
                <w:rFonts w:ascii="Arial" w:hAnsi="Arial" w:cs="Arial"/>
                <w:sz w:val="24"/>
                <w:szCs w:val="24"/>
                <w:lang w:val="en-GB" w:eastAsia="en-GB"/>
              </w:rPr>
              <w:t>r</w:t>
            </w:r>
            <w:r w:rsidRPr="00854047">
              <w:rPr>
                <w:rFonts w:ascii="Arial" w:hAnsi="Arial" w:cs="Arial"/>
                <w:sz w:val="24"/>
                <w:szCs w:val="24"/>
                <w:lang w:val="en-GB" w:eastAsia="en-GB"/>
              </w:rPr>
              <w:t xml:space="preserve"> no training opportunities.</w:t>
            </w:r>
          </w:p>
          <w:p w14:paraId="63C62AE7" w14:textId="77777777" w:rsidR="00854047" w:rsidRPr="00854047" w:rsidRDefault="00854047" w:rsidP="00854047">
            <w:pPr>
              <w:rPr>
                <w:rFonts w:ascii="Arial" w:hAnsi="Arial" w:cs="Arial"/>
                <w:sz w:val="24"/>
                <w:szCs w:val="24"/>
                <w:lang w:val="en-GB" w:eastAsia="en-GB"/>
              </w:rPr>
            </w:pPr>
          </w:p>
          <w:p w14:paraId="6550614A" w14:textId="7540A906" w:rsidR="00391A1B" w:rsidRDefault="00854047" w:rsidP="00854047">
            <w:pPr>
              <w:rPr>
                <w:rFonts w:ascii="Arial" w:hAnsi="Arial" w:cs="Arial"/>
                <w:sz w:val="24"/>
                <w:szCs w:val="24"/>
                <w:lang w:val="en-GB" w:eastAsia="en-GB"/>
              </w:rPr>
            </w:pPr>
            <w:r w:rsidRPr="00854047">
              <w:rPr>
                <w:rFonts w:ascii="Arial" w:hAnsi="Arial" w:cs="Arial"/>
                <w:sz w:val="24"/>
                <w:szCs w:val="24"/>
                <w:lang w:val="en-GB" w:eastAsia="en-GB"/>
              </w:rPr>
              <w:lastRenderedPageBreak/>
              <w:t>Replacement of public</w:t>
            </w:r>
            <w:r w:rsidR="00E74671">
              <w:rPr>
                <w:rFonts w:ascii="Arial" w:hAnsi="Arial" w:cs="Arial"/>
                <w:sz w:val="24"/>
                <w:szCs w:val="24"/>
                <w:lang w:val="en-GB" w:eastAsia="en-GB"/>
              </w:rPr>
              <w:t>-</w:t>
            </w:r>
            <w:r w:rsidRPr="00854047">
              <w:rPr>
                <w:rFonts w:ascii="Arial" w:hAnsi="Arial" w:cs="Arial"/>
                <w:sz w:val="24"/>
                <w:szCs w:val="24"/>
                <w:lang w:val="en-GB" w:eastAsia="en-GB"/>
              </w:rPr>
              <w:t>sector pensions with inferior money purchase or other schemes</w:t>
            </w:r>
            <w:r w:rsidR="008F34DF">
              <w:rPr>
                <w:rFonts w:ascii="Arial" w:hAnsi="Arial" w:cs="Arial"/>
                <w:sz w:val="24"/>
                <w:szCs w:val="24"/>
                <w:lang w:val="en-GB" w:eastAsia="en-GB"/>
              </w:rPr>
              <w:t>.</w:t>
            </w:r>
          </w:p>
          <w:p w14:paraId="4CA13A00" w14:textId="603ADE5A" w:rsidR="005C5FB2" w:rsidRDefault="005C5FB2" w:rsidP="00854047">
            <w:pPr>
              <w:rPr>
                <w:rFonts w:ascii="Arial" w:hAnsi="Arial" w:cs="Arial"/>
                <w:sz w:val="24"/>
                <w:szCs w:val="24"/>
                <w:lang w:val="en-GB" w:eastAsia="en-GB"/>
              </w:rPr>
            </w:pPr>
          </w:p>
          <w:p w14:paraId="4D71000E" w14:textId="0DCF792A" w:rsidR="005C5FB2" w:rsidRDefault="005C5FB2" w:rsidP="00854047">
            <w:pPr>
              <w:rPr>
                <w:rFonts w:ascii="Arial" w:hAnsi="Arial" w:cs="Arial"/>
                <w:sz w:val="24"/>
                <w:szCs w:val="24"/>
                <w:lang w:val="en-GB" w:eastAsia="en-GB"/>
              </w:rPr>
            </w:pPr>
            <w:r>
              <w:rPr>
                <w:rFonts w:ascii="Arial" w:hAnsi="Arial" w:cs="Arial"/>
                <w:sz w:val="24"/>
                <w:szCs w:val="24"/>
                <w:lang w:val="en-GB" w:eastAsia="en-GB"/>
              </w:rPr>
              <w:t xml:space="preserve">Later concern that companies were importing EU labour on inferior </w:t>
            </w:r>
            <w:r w:rsidR="00A867BB">
              <w:rPr>
                <w:rFonts w:ascii="Arial" w:hAnsi="Arial" w:cs="Arial"/>
                <w:sz w:val="24"/>
                <w:szCs w:val="24"/>
                <w:lang w:val="en-GB" w:eastAsia="en-GB"/>
              </w:rPr>
              <w:t xml:space="preserve">terms, </w:t>
            </w:r>
            <w:r w:rsidR="00F463CF">
              <w:rPr>
                <w:rFonts w:ascii="Arial" w:hAnsi="Arial" w:cs="Arial"/>
                <w:sz w:val="24"/>
                <w:szCs w:val="24"/>
                <w:lang w:val="en-GB" w:eastAsia="en-GB"/>
              </w:rPr>
              <w:t xml:space="preserve">exploiting different social security provisions to minimise UK </w:t>
            </w:r>
            <w:r w:rsidR="0051390B">
              <w:rPr>
                <w:rFonts w:ascii="Arial" w:hAnsi="Arial" w:cs="Arial"/>
                <w:sz w:val="24"/>
                <w:szCs w:val="24"/>
                <w:lang w:val="en-GB" w:eastAsia="en-GB"/>
              </w:rPr>
              <w:t>tax and national insurance contributions, reducing incentive to employ local</w:t>
            </w:r>
            <w:r w:rsidR="007A26CC">
              <w:rPr>
                <w:rFonts w:ascii="Arial" w:hAnsi="Arial" w:cs="Arial"/>
                <w:sz w:val="24"/>
                <w:szCs w:val="24"/>
                <w:lang w:val="en-GB" w:eastAsia="en-GB"/>
              </w:rPr>
              <w:t xml:space="preserve"> indigenous</w:t>
            </w:r>
            <w:r w:rsidR="0051390B">
              <w:rPr>
                <w:rFonts w:ascii="Arial" w:hAnsi="Arial" w:cs="Arial"/>
                <w:sz w:val="24"/>
                <w:szCs w:val="24"/>
                <w:lang w:val="en-GB" w:eastAsia="en-GB"/>
              </w:rPr>
              <w:t xml:space="preserve"> workers</w:t>
            </w:r>
            <w:r w:rsidR="00C577F4">
              <w:rPr>
                <w:rFonts w:ascii="Arial" w:hAnsi="Arial" w:cs="Arial"/>
                <w:sz w:val="24"/>
                <w:szCs w:val="24"/>
                <w:lang w:val="en-GB" w:eastAsia="en-GB"/>
              </w:rPr>
              <w:t xml:space="preserve">, but this applies </w:t>
            </w:r>
            <w:r w:rsidR="009F538A">
              <w:rPr>
                <w:rFonts w:ascii="Arial" w:hAnsi="Arial" w:cs="Arial"/>
                <w:sz w:val="24"/>
                <w:szCs w:val="24"/>
                <w:lang w:val="en-GB" w:eastAsia="en-GB"/>
              </w:rPr>
              <w:t>to all forms of procurement,</w:t>
            </w:r>
          </w:p>
          <w:p w14:paraId="4650200E" w14:textId="77777777" w:rsidR="00391A1B" w:rsidRDefault="00391A1B" w:rsidP="00854047">
            <w:pPr>
              <w:rPr>
                <w:rFonts w:ascii="Arial" w:hAnsi="Arial" w:cs="Arial"/>
                <w:sz w:val="24"/>
                <w:szCs w:val="24"/>
                <w:lang w:val="en-GB" w:eastAsia="en-GB"/>
              </w:rPr>
            </w:pPr>
          </w:p>
          <w:p w14:paraId="6EEB7C70" w14:textId="240E95E6" w:rsidR="005C5FB2" w:rsidRDefault="0038756F" w:rsidP="00854047">
            <w:pPr>
              <w:rPr>
                <w:rFonts w:ascii="Arial" w:hAnsi="Arial" w:cs="Arial"/>
                <w:sz w:val="24"/>
                <w:szCs w:val="24"/>
                <w:lang w:val="en-GB" w:eastAsia="en-GB"/>
              </w:rPr>
            </w:pPr>
            <w:r>
              <w:rPr>
                <w:rFonts w:ascii="Arial" w:hAnsi="Arial" w:cs="Arial"/>
                <w:sz w:val="24"/>
                <w:szCs w:val="24"/>
                <w:lang w:val="en-GB" w:eastAsia="en-GB"/>
              </w:rPr>
              <w:t xml:space="preserve">Clients </w:t>
            </w:r>
            <w:r w:rsidR="00CD7793">
              <w:rPr>
                <w:rFonts w:ascii="Arial" w:hAnsi="Arial" w:cs="Arial"/>
                <w:sz w:val="24"/>
                <w:szCs w:val="24"/>
                <w:lang w:val="en-GB" w:eastAsia="en-GB"/>
              </w:rPr>
              <w:t xml:space="preserve">can specify additionalities, such as employment and training </w:t>
            </w:r>
            <w:r w:rsidR="00BA0354">
              <w:rPr>
                <w:rFonts w:ascii="Arial" w:hAnsi="Arial" w:cs="Arial"/>
                <w:sz w:val="24"/>
                <w:szCs w:val="24"/>
                <w:lang w:val="en-GB" w:eastAsia="en-GB"/>
              </w:rPr>
              <w:t>outputs, in specification</w:t>
            </w:r>
            <w:r w:rsidR="00321826">
              <w:rPr>
                <w:rFonts w:ascii="Arial" w:hAnsi="Arial" w:cs="Arial"/>
                <w:sz w:val="24"/>
                <w:szCs w:val="24"/>
                <w:lang w:val="en-GB" w:eastAsia="en-GB"/>
              </w:rPr>
              <w:t>, but these need to b</w:t>
            </w:r>
            <w:r w:rsidR="001E7624">
              <w:rPr>
                <w:rFonts w:ascii="Arial" w:hAnsi="Arial" w:cs="Arial"/>
                <w:sz w:val="24"/>
                <w:szCs w:val="24"/>
                <w:lang w:val="en-GB" w:eastAsia="en-GB"/>
              </w:rPr>
              <w:t>e</w:t>
            </w:r>
            <w:r w:rsidR="00321826">
              <w:rPr>
                <w:rFonts w:ascii="Arial" w:hAnsi="Arial" w:cs="Arial"/>
                <w:sz w:val="24"/>
                <w:szCs w:val="24"/>
                <w:lang w:val="en-GB" w:eastAsia="en-GB"/>
              </w:rPr>
              <w:t xml:space="preserve"> monitored and verified. </w:t>
            </w:r>
          </w:p>
          <w:p w14:paraId="517AF61D" w14:textId="77777777" w:rsidR="005C5FB2" w:rsidRDefault="005C5FB2" w:rsidP="00854047">
            <w:pPr>
              <w:rPr>
                <w:rFonts w:ascii="Arial" w:hAnsi="Arial" w:cs="Arial"/>
                <w:sz w:val="24"/>
                <w:szCs w:val="24"/>
                <w:lang w:val="en-GB" w:eastAsia="en-GB"/>
              </w:rPr>
            </w:pPr>
          </w:p>
          <w:p w14:paraId="4468C5E5" w14:textId="5B11B5DE" w:rsidR="00854047" w:rsidRPr="00854047" w:rsidRDefault="00BA0354" w:rsidP="00854047">
            <w:pPr>
              <w:rPr>
                <w:rFonts w:ascii="Arial" w:hAnsi="Arial" w:cs="Arial"/>
                <w:sz w:val="24"/>
                <w:szCs w:val="24"/>
                <w:lang w:val="en-GB" w:eastAsia="en-GB"/>
              </w:rPr>
            </w:pPr>
            <w:r>
              <w:rPr>
                <w:rFonts w:ascii="Arial" w:hAnsi="Arial" w:cs="Arial"/>
                <w:sz w:val="24"/>
                <w:szCs w:val="24"/>
                <w:lang w:val="en-GB" w:eastAsia="en-GB"/>
              </w:rPr>
              <w:t xml:space="preserve"> </w:t>
            </w:r>
            <w:r w:rsidR="00854047" w:rsidRPr="00854047">
              <w:rPr>
                <w:rFonts w:ascii="Arial" w:hAnsi="Arial" w:cs="Arial"/>
                <w:sz w:val="24"/>
                <w:szCs w:val="24"/>
                <w:lang w:val="en-GB" w:eastAsia="en-GB"/>
              </w:rPr>
              <w:t xml:space="preserve"> </w:t>
            </w:r>
          </w:p>
        </w:tc>
        <w:tc>
          <w:tcPr>
            <w:tcW w:w="3622" w:type="dxa"/>
          </w:tcPr>
          <w:p w14:paraId="027CC434" w14:textId="4462295F"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lastRenderedPageBreak/>
              <w:t xml:space="preserve">TUPE protection for existing staff transferred to PFI operator </w:t>
            </w:r>
            <w:r w:rsidR="007A0819">
              <w:rPr>
                <w:rFonts w:ascii="Arial" w:hAnsi="Arial" w:cs="Arial"/>
                <w:sz w:val="24"/>
                <w:szCs w:val="24"/>
                <w:lang w:val="en-GB" w:eastAsia="en-GB"/>
              </w:rPr>
              <w:t>was</w:t>
            </w:r>
            <w:r w:rsidRPr="00854047">
              <w:rPr>
                <w:rFonts w:ascii="Arial" w:hAnsi="Arial" w:cs="Arial"/>
                <w:sz w:val="24"/>
                <w:szCs w:val="24"/>
                <w:lang w:val="en-GB" w:eastAsia="en-GB"/>
              </w:rPr>
              <w:t xml:space="preserve"> extended to new employees by Cabinet Office guidance.</w:t>
            </w:r>
          </w:p>
          <w:p w14:paraId="077FA27C" w14:textId="77777777" w:rsidR="00854047" w:rsidRPr="00854047" w:rsidRDefault="00854047" w:rsidP="00854047">
            <w:pPr>
              <w:rPr>
                <w:rFonts w:ascii="Arial" w:hAnsi="Arial" w:cs="Arial"/>
                <w:sz w:val="24"/>
                <w:szCs w:val="24"/>
                <w:lang w:val="en-GB" w:eastAsia="en-GB"/>
              </w:rPr>
            </w:pPr>
          </w:p>
          <w:p w14:paraId="575FB8C7" w14:textId="77777777" w:rsidR="008F34DF" w:rsidRDefault="00854047" w:rsidP="00854047">
            <w:pPr>
              <w:rPr>
                <w:rFonts w:ascii="Arial" w:hAnsi="Arial" w:cs="Arial"/>
                <w:sz w:val="24"/>
                <w:szCs w:val="24"/>
                <w:lang w:val="en-GB" w:eastAsia="en-GB"/>
              </w:rPr>
            </w:pPr>
            <w:r w:rsidRPr="00854047">
              <w:rPr>
                <w:rFonts w:ascii="Arial" w:hAnsi="Arial" w:cs="Arial"/>
                <w:sz w:val="24"/>
                <w:szCs w:val="24"/>
                <w:lang w:val="en-GB" w:eastAsia="en-GB"/>
              </w:rPr>
              <w:t>This guidance require</w:t>
            </w:r>
            <w:r w:rsidR="007A0819">
              <w:rPr>
                <w:rFonts w:ascii="Arial" w:hAnsi="Arial" w:cs="Arial"/>
                <w:sz w:val="24"/>
                <w:szCs w:val="24"/>
                <w:lang w:val="en-GB" w:eastAsia="en-GB"/>
              </w:rPr>
              <w:t>d</w:t>
            </w:r>
            <w:r w:rsidRPr="00854047">
              <w:rPr>
                <w:rFonts w:ascii="Arial" w:hAnsi="Arial" w:cs="Arial"/>
                <w:sz w:val="24"/>
                <w:szCs w:val="24"/>
                <w:lang w:val="en-GB" w:eastAsia="en-GB"/>
              </w:rPr>
              <w:t xml:space="preserve"> PFI operator to offer comparable </w:t>
            </w:r>
            <w:r w:rsidRPr="00854047">
              <w:rPr>
                <w:rFonts w:ascii="Arial" w:hAnsi="Arial" w:cs="Arial"/>
                <w:sz w:val="24"/>
                <w:szCs w:val="24"/>
                <w:lang w:val="en-GB" w:eastAsia="en-GB"/>
              </w:rPr>
              <w:lastRenderedPageBreak/>
              <w:t xml:space="preserve">pension arrangements but not necessarily final salary pension. </w:t>
            </w:r>
          </w:p>
          <w:p w14:paraId="5E0847C7" w14:textId="77777777" w:rsidR="008F34DF" w:rsidRDefault="008F34DF" w:rsidP="00854047">
            <w:pPr>
              <w:rPr>
                <w:rFonts w:ascii="Arial" w:hAnsi="Arial" w:cs="Arial"/>
                <w:sz w:val="24"/>
                <w:szCs w:val="24"/>
                <w:lang w:val="en-GB" w:eastAsia="en-GB"/>
              </w:rPr>
            </w:pPr>
          </w:p>
          <w:p w14:paraId="00C802E8" w14:textId="77777777" w:rsidR="00B51AF1" w:rsidRDefault="00B51AF1" w:rsidP="00BA0354">
            <w:pPr>
              <w:rPr>
                <w:rFonts w:ascii="Arial" w:hAnsi="Arial" w:cs="Arial"/>
                <w:sz w:val="24"/>
                <w:szCs w:val="24"/>
                <w:lang w:val="en-GB" w:eastAsia="en-GB"/>
              </w:rPr>
            </w:pPr>
          </w:p>
          <w:p w14:paraId="32F80DB2" w14:textId="77777777" w:rsidR="00C577F4" w:rsidRDefault="001E7624" w:rsidP="00BA0354">
            <w:pPr>
              <w:rPr>
                <w:rFonts w:ascii="Arial" w:hAnsi="Arial" w:cs="Arial"/>
                <w:sz w:val="24"/>
                <w:szCs w:val="24"/>
                <w:lang w:val="en-GB" w:eastAsia="en-GB"/>
              </w:rPr>
            </w:pPr>
            <w:r>
              <w:rPr>
                <w:rFonts w:ascii="Arial" w:hAnsi="Arial" w:cs="Arial"/>
                <w:sz w:val="24"/>
                <w:szCs w:val="24"/>
                <w:lang w:val="en-GB" w:eastAsia="en-GB"/>
              </w:rPr>
              <w:t xml:space="preserve">EU </w:t>
            </w:r>
            <w:r w:rsidR="00B51AF1">
              <w:rPr>
                <w:rFonts w:ascii="Arial" w:hAnsi="Arial" w:cs="Arial"/>
                <w:sz w:val="24"/>
                <w:szCs w:val="24"/>
                <w:lang w:val="en-GB" w:eastAsia="en-GB"/>
              </w:rPr>
              <w:t>Postal Worker Directive Reform</w:t>
            </w:r>
            <w:r w:rsidR="00C577F4">
              <w:rPr>
                <w:rFonts w:ascii="Arial" w:hAnsi="Arial" w:cs="Arial"/>
                <w:sz w:val="24"/>
                <w:szCs w:val="24"/>
                <w:lang w:val="en-GB" w:eastAsia="en-GB"/>
              </w:rPr>
              <w:t>.</w:t>
            </w:r>
          </w:p>
          <w:p w14:paraId="2EF1D297" w14:textId="77777777" w:rsidR="00C577F4" w:rsidRDefault="00C577F4" w:rsidP="00BA0354">
            <w:pPr>
              <w:rPr>
                <w:rFonts w:ascii="Arial" w:hAnsi="Arial" w:cs="Arial"/>
                <w:sz w:val="24"/>
                <w:szCs w:val="24"/>
                <w:lang w:val="en-GB" w:eastAsia="en-GB"/>
              </w:rPr>
            </w:pPr>
          </w:p>
          <w:p w14:paraId="466BA676" w14:textId="77777777" w:rsidR="00B51AF1" w:rsidRDefault="00C577F4" w:rsidP="00BA0354">
            <w:pPr>
              <w:rPr>
                <w:rFonts w:ascii="Arial" w:hAnsi="Arial" w:cs="Arial"/>
                <w:sz w:val="24"/>
                <w:szCs w:val="24"/>
                <w:lang w:val="en-GB" w:eastAsia="en-GB"/>
              </w:rPr>
            </w:pPr>
            <w:r>
              <w:rPr>
                <w:rFonts w:ascii="Arial" w:hAnsi="Arial" w:cs="Arial"/>
                <w:sz w:val="24"/>
                <w:szCs w:val="24"/>
                <w:lang w:val="en-GB" w:eastAsia="en-GB"/>
              </w:rPr>
              <w:t>I</w:t>
            </w:r>
            <w:r w:rsidR="001E7624">
              <w:rPr>
                <w:rFonts w:ascii="Arial" w:hAnsi="Arial" w:cs="Arial"/>
                <w:sz w:val="24"/>
                <w:szCs w:val="24"/>
                <w:lang w:val="en-GB" w:eastAsia="en-GB"/>
              </w:rPr>
              <w:t xml:space="preserve">mpact of Brexit, if </w:t>
            </w:r>
            <w:r>
              <w:rPr>
                <w:rFonts w:ascii="Arial" w:hAnsi="Arial" w:cs="Arial"/>
                <w:sz w:val="24"/>
                <w:szCs w:val="24"/>
                <w:lang w:val="en-GB" w:eastAsia="en-GB"/>
              </w:rPr>
              <w:t>it</w:t>
            </w:r>
            <w:r w:rsidR="001E7624">
              <w:rPr>
                <w:rFonts w:ascii="Arial" w:hAnsi="Arial" w:cs="Arial"/>
                <w:sz w:val="24"/>
                <w:szCs w:val="24"/>
                <w:lang w:val="en-GB" w:eastAsia="en-GB"/>
              </w:rPr>
              <w:t xml:space="preserve"> occurs. </w:t>
            </w:r>
          </w:p>
          <w:p w14:paraId="1AC7D7D6" w14:textId="77777777" w:rsidR="0011493C" w:rsidRDefault="0011493C" w:rsidP="00BA0354">
            <w:pPr>
              <w:rPr>
                <w:rFonts w:ascii="Arial" w:hAnsi="Arial" w:cs="Arial"/>
                <w:sz w:val="24"/>
                <w:szCs w:val="24"/>
                <w:lang w:val="en-GB" w:eastAsia="en-GB"/>
              </w:rPr>
            </w:pPr>
          </w:p>
          <w:p w14:paraId="190E77F5" w14:textId="77777777" w:rsidR="0011493C" w:rsidRDefault="0011493C" w:rsidP="00BA0354">
            <w:pPr>
              <w:rPr>
                <w:rFonts w:ascii="Arial" w:hAnsi="Arial" w:cs="Arial"/>
                <w:sz w:val="24"/>
                <w:szCs w:val="24"/>
                <w:lang w:val="en-GB" w:eastAsia="en-GB"/>
              </w:rPr>
            </w:pPr>
          </w:p>
          <w:p w14:paraId="787A8985" w14:textId="77777777" w:rsidR="0011493C" w:rsidRDefault="0011493C" w:rsidP="00BA0354">
            <w:pPr>
              <w:rPr>
                <w:rFonts w:ascii="Arial" w:hAnsi="Arial" w:cs="Arial"/>
                <w:sz w:val="24"/>
                <w:szCs w:val="24"/>
                <w:lang w:val="en-GB" w:eastAsia="en-GB"/>
              </w:rPr>
            </w:pPr>
          </w:p>
          <w:p w14:paraId="1F360D88" w14:textId="77777777" w:rsidR="0011493C" w:rsidRDefault="0011493C" w:rsidP="00BA0354">
            <w:pPr>
              <w:rPr>
                <w:rFonts w:ascii="Arial" w:hAnsi="Arial" w:cs="Arial"/>
                <w:sz w:val="24"/>
                <w:szCs w:val="24"/>
                <w:lang w:val="en-GB" w:eastAsia="en-GB"/>
              </w:rPr>
            </w:pPr>
          </w:p>
          <w:p w14:paraId="7E5064F2" w14:textId="77777777" w:rsidR="0011493C" w:rsidRDefault="0011493C" w:rsidP="00BA0354">
            <w:pPr>
              <w:rPr>
                <w:rFonts w:ascii="Arial" w:hAnsi="Arial" w:cs="Arial"/>
                <w:sz w:val="24"/>
                <w:szCs w:val="24"/>
                <w:lang w:val="en-GB" w:eastAsia="en-GB"/>
              </w:rPr>
            </w:pPr>
          </w:p>
          <w:p w14:paraId="705A7920" w14:textId="77777777" w:rsidR="0011493C" w:rsidRDefault="0011493C" w:rsidP="00BA0354">
            <w:pPr>
              <w:rPr>
                <w:rFonts w:ascii="Arial" w:hAnsi="Arial" w:cs="Arial"/>
                <w:sz w:val="24"/>
                <w:szCs w:val="24"/>
                <w:lang w:val="en-GB" w:eastAsia="en-GB"/>
              </w:rPr>
            </w:pPr>
          </w:p>
          <w:p w14:paraId="5A01865A" w14:textId="77777777" w:rsidR="0011493C" w:rsidRDefault="0011493C" w:rsidP="00BA0354">
            <w:pPr>
              <w:rPr>
                <w:rFonts w:ascii="Arial" w:hAnsi="Arial" w:cs="Arial"/>
                <w:sz w:val="24"/>
                <w:szCs w:val="24"/>
                <w:lang w:val="en-GB" w:eastAsia="en-GB"/>
              </w:rPr>
            </w:pPr>
          </w:p>
          <w:p w14:paraId="2863D312" w14:textId="342F846E" w:rsidR="0011493C" w:rsidRDefault="0011493C" w:rsidP="00BA0354">
            <w:pPr>
              <w:rPr>
                <w:rFonts w:ascii="Arial" w:hAnsi="Arial" w:cs="Arial"/>
                <w:sz w:val="24"/>
                <w:szCs w:val="24"/>
                <w:lang w:val="en-GB" w:eastAsia="en-GB"/>
              </w:rPr>
            </w:pPr>
          </w:p>
          <w:p w14:paraId="72BED8BB" w14:textId="5612C030" w:rsidR="0011493C" w:rsidRPr="00854047" w:rsidRDefault="0011493C" w:rsidP="00BA0354">
            <w:pPr>
              <w:rPr>
                <w:rFonts w:ascii="Arial" w:hAnsi="Arial" w:cs="Arial"/>
                <w:sz w:val="24"/>
                <w:szCs w:val="24"/>
                <w:lang w:val="en-GB" w:eastAsia="en-GB"/>
              </w:rPr>
            </w:pPr>
          </w:p>
        </w:tc>
      </w:tr>
      <w:tr w:rsidR="00854047" w:rsidRPr="00854047" w14:paraId="4254147B" w14:textId="77777777" w:rsidTr="006304F3">
        <w:tc>
          <w:tcPr>
            <w:tcW w:w="0" w:type="auto"/>
          </w:tcPr>
          <w:p w14:paraId="3585F287"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lastRenderedPageBreak/>
              <w:t>6</w:t>
            </w:r>
          </w:p>
        </w:tc>
        <w:tc>
          <w:tcPr>
            <w:tcW w:w="1777" w:type="dxa"/>
          </w:tcPr>
          <w:p w14:paraId="6EB5FFB4" w14:textId="7BBD3453"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 xml:space="preserve">Development of secondary market </w:t>
            </w:r>
          </w:p>
        </w:tc>
        <w:tc>
          <w:tcPr>
            <w:tcW w:w="3539" w:type="dxa"/>
          </w:tcPr>
          <w:p w14:paraId="571F945A"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This may undermine performance incentives where contract is conveyed to new purchaser investing little equity stake in contract.</w:t>
            </w:r>
          </w:p>
          <w:p w14:paraId="718B1330" w14:textId="77777777" w:rsidR="00854047" w:rsidRPr="00854047" w:rsidRDefault="00854047" w:rsidP="00854047">
            <w:pPr>
              <w:rPr>
                <w:rFonts w:ascii="Arial" w:hAnsi="Arial" w:cs="Arial"/>
                <w:sz w:val="24"/>
                <w:szCs w:val="24"/>
                <w:lang w:val="en-GB" w:eastAsia="en-GB"/>
              </w:rPr>
            </w:pPr>
          </w:p>
          <w:p w14:paraId="7F6C181D"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Frequent sales of contracts for short-term financial gain can prove inimical to partnership working and continuity of service. </w:t>
            </w:r>
          </w:p>
        </w:tc>
        <w:tc>
          <w:tcPr>
            <w:tcW w:w="3622" w:type="dxa"/>
          </w:tcPr>
          <w:p w14:paraId="796169F1" w14:textId="77777777" w:rsid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Robust secondary market increases market confidence and assists market benchmarking of price and services. </w:t>
            </w:r>
          </w:p>
          <w:p w14:paraId="70E5FE27" w14:textId="0EA801EF" w:rsidR="00CC3243" w:rsidRPr="00854047" w:rsidRDefault="00CC3243" w:rsidP="00854047">
            <w:pPr>
              <w:rPr>
                <w:rFonts w:ascii="Arial" w:hAnsi="Arial" w:cs="Arial"/>
                <w:sz w:val="24"/>
                <w:szCs w:val="24"/>
                <w:lang w:val="en-GB" w:eastAsia="en-GB"/>
              </w:rPr>
            </w:pPr>
            <w:r>
              <w:rPr>
                <w:rFonts w:ascii="Arial" w:hAnsi="Arial" w:cs="Arial"/>
                <w:sz w:val="24"/>
                <w:szCs w:val="24"/>
                <w:lang w:val="en-GB" w:eastAsia="en-GB"/>
              </w:rPr>
              <w:t xml:space="preserve"> </w:t>
            </w:r>
          </w:p>
        </w:tc>
      </w:tr>
      <w:tr w:rsidR="00854047" w:rsidRPr="00854047" w14:paraId="0C6E2190" w14:textId="77777777" w:rsidTr="006304F3">
        <w:tc>
          <w:tcPr>
            <w:tcW w:w="0" w:type="auto"/>
          </w:tcPr>
          <w:p w14:paraId="2EA28555"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7</w:t>
            </w:r>
          </w:p>
        </w:tc>
        <w:tc>
          <w:tcPr>
            <w:tcW w:w="1777" w:type="dxa"/>
          </w:tcPr>
          <w:p w14:paraId="2BE1CEC5" w14:textId="77777777" w:rsidR="00854047" w:rsidRPr="00854047" w:rsidRDefault="00854047" w:rsidP="00854047">
            <w:pPr>
              <w:rPr>
                <w:rFonts w:ascii="Arial" w:hAnsi="Arial" w:cs="Arial"/>
                <w:b/>
                <w:sz w:val="24"/>
                <w:szCs w:val="24"/>
                <w:lang w:val="en-GB" w:eastAsia="en-GB"/>
              </w:rPr>
            </w:pPr>
            <w:r w:rsidRPr="00854047">
              <w:rPr>
                <w:rFonts w:ascii="Arial" w:hAnsi="Arial" w:cs="Arial"/>
                <w:b/>
                <w:sz w:val="24"/>
                <w:szCs w:val="24"/>
                <w:lang w:val="en-GB" w:eastAsia="en-GB"/>
              </w:rPr>
              <w:t xml:space="preserve">Long lead in times and lack of competition </w:t>
            </w:r>
          </w:p>
        </w:tc>
        <w:tc>
          <w:tcPr>
            <w:tcW w:w="3539" w:type="dxa"/>
          </w:tcPr>
          <w:p w14:paraId="10C61A96" w14:textId="04CF7E35"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NAO notes continuing insufficient public sector capacity to procure complex PPP/PFI schemes and to negotiate/monitor effectively with </w:t>
            </w:r>
            <w:r w:rsidR="00AC3685" w:rsidRPr="00854047">
              <w:rPr>
                <w:rFonts w:ascii="Arial" w:hAnsi="Arial" w:cs="Arial"/>
                <w:sz w:val="24"/>
                <w:szCs w:val="24"/>
                <w:lang w:val="en-GB" w:eastAsia="en-GB"/>
              </w:rPr>
              <w:t>commercially</w:t>
            </w:r>
            <w:r w:rsidR="00AC3685">
              <w:rPr>
                <w:rFonts w:ascii="Arial" w:hAnsi="Arial" w:cs="Arial"/>
                <w:sz w:val="24"/>
                <w:szCs w:val="24"/>
                <w:lang w:val="en-GB" w:eastAsia="en-GB"/>
              </w:rPr>
              <w:t xml:space="preserve"> oriented</w:t>
            </w:r>
            <w:r w:rsidRPr="00854047">
              <w:rPr>
                <w:rFonts w:ascii="Arial" w:hAnsi="Arial" w:cs="Arial"/>
                <w:sz w:val="24"/>
                <w:szCs w:val="24"/>
                <w:lang w:val="en-GB" w:eastAsia="en-GB"/>
              </w:rPr>
              <w:t xml:space="preserve"> private sector partners.</w:t>
            </w:r>
          </w:p>
          <w:p w14:paraId="1AF696C1" w14:textId="77777777" w:rsidR="00854047" w:rsidRPr="00854047" w:rsidRDefault="00854047" w:rsidP="00854047">
            <w:pPr>
              <w:rPr>
                <w:rFonts w:ascii="Arial" w:hAnsi="Arial" w:cs="Arial"/>
                <w:sz w:val="24"/>
                <w:szCs w:val="24"/>
                <w:lang w:val="en-GB" w:eastAsia="en-GB"/>
              </w:rPr>
            </w:pPr>
          </w:p>
          <w:p w14:paraId="01022EAD" w14:textId="797E4BB3"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This has resulted in delays (</w:t>
            </w:r>
            <w:r w:rsidR="00497CF2">
              <w:rPr>
                <w:rFonts w:ascii="Arial" w:hAnsi="Arial" w:cs="Arial"/>
                <w:sz w:val="24"/>
                <w:szCs w:val="24"/>
                <w:lang w:val="en-GB" w:eastAsia="en-GB"/>
              </w:rPr>
              <w:t xml:space="preserve">many </w:t>
            </w:r>
            <w:r w:rsidRPr="00854047">
              <w:rPr>
                <w:rFonts w:ascii="Arial" w:hAnsi="Arial" w:cs="Arial"/>
                <w:sz w:val="24"/>
                <w:szCs w:val="24"/>
                <w:lang w:val="en-GB" w:eastAsia="en-GB"/>
              </w:rPr>
              <w:t>PFI project</w:t>
            </w:r>
            <w:r w:rsidR="00497CF2">
              <w:rPr>
                <w:rFonts w:ascii="Arial" w:hAnsi="Arial" w:cs="Arial"/>
                <w:sz w:val="24"/>
                <w:szCs w:val="24"/>
                <w:lang w:val="en-GB" w:eastAsia="en-GB"/>
              </w:rPr>
              <w:t>s</w:t>
            </w:r>
            <w:r w:rsidRPr="00854047">
              <w:rPr>
                <w:rFonts w:ascii="Arial" w:hAnsi="Arial" w:cs="Arial"/>
                <w:sz w:val="24"/>
                <w:szCs w:val="24"/>
                <w:lang w:val="en-GB" w:eastAsia="en-GB"/>
              </w:rPr>
              <w:t xml:space="preserve"> t</w:t>
            </w:r>
            <w:r w:rsidR="00497CF2">
              <w:rPr>
                <w:rFonts w:ascii="Arial" w:hAnsi="Arial" w:cs="Arial"/>
                <w:sz w:val="24"/>
                <w:szCs w:val="24"/>
                <w:lang w:val="en-GB" w:eastAsia="en-GB"/>
              </w:rPr>
              <w:t>ook</w:t>
            </w:r>
            <w:r w:rsidRPr="00854047">
              <w:rPr>
                <w:rFonts w:ascii="Arial" w:hAnsi="Arial" w:cs="Arial"/>
                <w:sz w:val="24"/>
                <w:szCs w:val="24"/>
                <w:lang w:val="en-GB" w:eastAsia="en-GB"/>
              </w:rPr>
              <w:t xml:space="preserve"> longer than three years to procure) </w:t>
            </w:r>
            <w:r w:rsidRPr="00854047">
              <w:rPr>
                <w:rFonts w:ascii="Arial" w:hAnsi="Arial" w:cs="Arial"/>
                <w:sz w:val="24"/>
                <w:szCs w:val="24"/>
                <w:lang w:val="en-GB" w:eastAsia="en-GB"/>
              </w:rPr>
              <w:lastRenderedPageBreak/>
              <w:t xml:space="preserve">linked to misspecification or inadequate preparation of contractual requirements, lack of private sector confidence in the process resulting in reluctance to enter and remain in the market </w:t>
            </w:r>
          </w:p>
        </w:tc>
        <w:tc>
          <w:tcPr>
            <w:tcW w:w="3622" w:type="dxa"/>
          </w:tcPr>
          <w:p w14:paraId="6DB59281" w14:textId="77777777" w:rsidR="00854047" w:rsidRPr="00854047" w:rsidRDefault="00854047" w:rsidP="00854047">
            <w:pPr>
              <w:rPr>
                <w:rFonts w:ascii="Arial" w:hAnsi="Arial" w:cs="Arial"/>
                <w:sz w:val="24"/>
                <w:szCs w:val="24"/>
                <w:lang w:val="en-GB" w:eastAsia="en-GB"/>
              </w:rPr>
            </w:pPr>
          </w:p>
          <w:p w14:paraId="69C2413E"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Greater use of standardised documentation.</w:t>
            </w:r>
          </w:p>
          <w:p w14:paraId="5C4DD465" w14:textId="77777777" w:rsidR="00854047" w:rsidRPr="00854047" w:rsidRDefault="00854047" w:rsidP="00854047">
            <w:pPr>
              <w:rPr>
                <w:rFonts w:ascii="Arial" w:hAnsi="Arial" w:cs="Arial"/>
                <w:sz w:val="24"/>
                <w:szCs w:val="24"/>
                <w:lang w:val="en-GB" w:eastAsia="en-GB"/>
              </w:rPr>
            </w:pPr>
          </w:p>
          <w:p w14:paraId="30D9FD9C" w14:textId="77777777"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Pooling of knowledge and know-how between public and private sectors and project teams.  </w:t>
            </w:r>
          </w:p>
          <w:p w14:paraId="35E3181F" w14:textId="77777777" w:rsidR="00854047" w:rsidRPr="00854047" w:rsidRDefault="00854047" w:rsidP="00854047">
            <w:pPr>
              <w:rPr>
                <w:rFonts w:ascii="Arial" w:hAnsi="Arial" w:cs="Arial"/>
                <w:sz w:val="24"/>
                <w:szCs w:val="24"/>
                <w:lang w:val="en-GB" w:eastAsia="en-GB"/>
              </w:rPr>
            </w:pPr>
          </w:p>
          <w:p w14:paraId="64213DEB" w14:textId="507F538B"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Other reasons</w:t>
            </w:r>
            <w:r w:rsidR="00C01BCF">
              <w:rPr>
                <w:rFonts w:ascii="Arial" w:hAnsi="Arial" w:cs="Arial"/>
                <w:sz w:val="24"/>
                <w:szCs w:val="24"/>
                <w:lang w:val="en-GB" w:eastAsia="en-GB"/>
              </w:rPr>
              <w:t xml:space="preserve"> such as</w:t>
            </w:r>
            <w:r w:rsidRPr="00854047">
              <w:rPr>
                <w:rFonts w:ascii="Arial" w:hAnsi="Arial" w:cs="Arial"/>
                <w:sz w:val="24"/>
                <w:szCs w:val="24"/>
                <w:lang w:val="en-GB" w:eastAsia="en-GB"/>
              </w:rPr>
              <w:t xml:space="preserve"> market abuse/collusion by private </w:t>
            </w:r>
            <w:r w:rsidRPr="00854047">
              <w:rPr>
                <w:rFonts w:ascii="Arial" w:hAnsi="Arial" w:cs="Arial"/>
                <w:sz w:val="24"/>
                <w:szCs w:val="24"/>
                <w:lang w:val="en-GB" w:eastAsia="en-GB"/>
              </w:rPr>
              <w:lastRenderedPageBreak/>
              <w:t>sector</w:t>
            </w:r>
            <w:r w:rsidR="00C01BCF">
              <w:rPr>
                <w:rFonts w:ascii="Arial" w:hAnsi="Arial" w:cs="Arial"/>
                <w:sz w:val="24"/>
                <w:szCs w:val="24"/>
                <w:lang w:val="en-GB" w:eastAsia="en-GB"/>
              </w:rPr>
              <w:t xml:space="preserve"> could have contributed to PFI delays</w:t>
            </w:r>
            <w:r w:rsidRPr="00854047">
              <w:rPr>
                <w:rFonts w:ascii="Arial" w:hAnsi="Arial" w:cs="Arial"/>
                <w:sz w:val="24"/>
                <w:szCs w:val="24"/>
                <w:lang w:val="en-GB" w:eastAsia="en-GB"/>
              </w:rPr>
              <w:t xml:space="preserve">. </w:t>
            </w:r>
          </w:p>
          <w:p w14:paraId="6A514659" w14:textId="77777777" w:rsidR="00854047" w:rsidRPr="00854047" w:rsidRDefault="00854047" w:rsidP="00854047">
            <w:pPr>
              <w:rPr>
                <w:rFonts w:ascii="Arial" w:hAnsi="Arial" w:cs="Arial"/>
                <w:sz w:val="24"/>
                <w:szCs w:val="24"/>
                <w:lang w:val="en-GB" w:eastAsia="en-GB"/>
              </w:rPr>
            </w:pPr>
          </w:p>
          <w:p w14:paraId="4B04A656" w14:textId="6C3F3432" w:rsidR="00854047" w:rsidRPr="00854047" w:rsidRDefault="00854047" w:rsidP="00854047">
            <w:pPr>
              <w:rPr>
                <w:rFonts w:ascii="Arial" w:hAnsi="Arial" w:cs="Arial"/>
                <w:sz w:val="24"/>
                <w:szCs w:val="24"/>
                <w:lang w:val="en-GB" w:eastAsia="en-GB"/>
              </w:rPr>
            </w:pPr>
            <w:r w:rsidRPr="00854047">
              <w:rPr>
                <w:rFonts w:ascii="Arial" w:hAnsi="Arial" w:cs="Arial"/>
                <w:sz w:val="24"/>
                <w:szCs w:val="24"/>
                <w:lang w:val="en-GB" w:eastAsia="en-GB"/>
              </w:rPr>
              <w:t xml:space="preserve"> </w:t>
            </w:r>
          </w:p>
        </w:tc>
      </w:tr>
    </w:tbl>
    <w:p w14:paraId="79622514" w14:textId="77777777" w:rsidR="00A942FA" w:rsidRDefault="00A942FA" w:rsidP="00854047">
      <w:pPr>
        <w:spacing w:after="0" w:line="240" w:lineRule="auto"/>
        <w:rPr>
          <w:rFonts w:ascii="Arial" w:eastAsia="Times New Roman" w:hAnsi="Arial" w:cs="Arial"/>
          <w:sz w:val="24"/>
          <w:szCs w:val="24"/>
          <w:lang w:val="en-GB" w:eastAsia="en-GB"/>
        </w:rPr>
      </w:pPr>
    </w:p>
    <w:p w14:paraId="42E5F303" w14:textId="77777777" w:rsidR="004170DA" w:rsidRDefault="004170DA" w:rsidP="004170DA">
      <w:pPr>
        <w:rPr>
          <w:rFonts w:ascii="Arial" w:eastAsia="Times New Roman" w:hAnsi="Arial" w:cs="Times New Roman"/>
          <w:color w:val="666666"/>
          <w:sz w:val="24"/>
          <w:szCs w:val="24"/>
        </w:rPr>
      </w:pPr>
      <w:r>
        <w:rPr>
          <w:rFonts w:ascii="Arial" w:eastAsia="Times New Roman" w:hAnsi="Arial" w:cs="Times New Roman"/>
          <w:color w:val="666666"/>
          <w:sz w:val="24"/>
          <w:szCs w:val="24"/>
        </w:rPr>
        <w:br w:type="page"/>
      </w:r>
    </w:p>
    <w:p w14:paraId="05F18510" w14:textId="211C396D" w:rsidR="00AE127B" w:rsidRPr="00D264F2" w:rsidRDefault="00886EEE" w:rsidP="0017631A">
      <w:pPr>
        <w:pStyle w:val="ListParagraph"/>
        <w:numPr>
          <w:ilvl w:val="0"/>
          <w:numId w:val="19"/>
        </w:numPr>
        <w:rPr>
          <w:rFonts w:ascii="Arial" w:eastAsia="Times New Roman" w:hAnsi="Arial" w:cs="Times New Roman"/>
          <w:b/>
          <w:bCs/>
          <w:color w:val="666666"/>
          <w:sz w:val="24"/>
          <w:szCs w:val="24"/>
        </w:rPr>
      </w:pPr>
      <w:r w:rsidRPr="00D264F2">
        <w:rPr>
          <w:rFonts w:ascii="Arial" w:eastAsia="Times New Roman" w:hAnsi="Arial" w:cs="Times New Roman"/>
          <w:b/>
          <w:bCs/>
          <w:color w:val="666666"/>
          <w:sz w:val="24"/>
          <w:szCs w:val="24"/>
        </w:rPr>
        <w:lastRenderedPageBreak/>
        <w:t xml:space="preserve">Recognising </w:t>
      </w:r>
      <w:r w:rsidR="00D264F2" w:rsidRPr="00D264F2">
        <w:rPr>
          <w:rFonts w:ascii="Arial" w:eastAsia="Times New Roman" w:hAnsi="Arial" w:cs="Times New Roman"/>
          <w:b/>
          <w:bCs/>
          <w:color w:val="666666"/>
          <w:sz w:val="24"/>
          <w:szCs w:val="24"/>
        </w:rPr>
        <w:t xml:space="preserve">the </w:t>
      </w:r>
      <w:r w:rsidR="00D5653F">
        <w:rPr>
          <w:rFonts w:ascii="Arial" w:eastAsia="Times New Roman" w:hAnsi="Arial" w:cs="Times New Roman"/>
          <w:b/>
          <w:bCs/>
          <w:color w:val="666666"/>
          <w:sz w:val="24"/>
          <w:szCs w:val="24"/>
        </w:rPr>
        <w:t xml:space="preserve">true nature of </w:t>
      </w:r>
      <w:r w:rsidR="00D264F2" w:rsidRPr="00D264F2">
        <w:rPr>
          <w:rFonts w:ascii="Arial" w:eastAsia="Times New Roman" w:hAnsi="Arial" w:cs="Times New Roman"/>
          <w:b/>
          <w:bCs/>
          <w:color w:val="666666"/>
          <w:sz w:val="24"/>
          <w:szCs w:val="24"/>
        </w:rPr>
        <w:t xml:space="preserve">fiscal crisis of the state </w:t>
      </w:r>
    </w:p>
    <w:p w14:paraId="0EA64B59" w14:textId="578348B7" w:rsidR="005B7C16" w:rsidRPr="00201D21" w:rsidRDefault="00284E97" w:rsidP="00054B93">
      <w:pPr>
        <w:rPr>
          <w:rFonts w:ascii="Arial" w:hAnsi="Arial"/>
          <w:sz w:val="24"/>
          <w:szCs w:val="24"/>
        </w:rPr>
      </w:pPr>
      <w:r w:rsidRPr="00201D21">
        <w:rPr>
          <w:rFonts w:ascii="Arial" w:hAnsi="Arial"/>
          <w:sz w:val="24"/>
          <w:szCs w:val="24"/>
        </w:rPr>
        <w:t xml:space="preserve">The IPA in its </w:t>
      </w:r>
      <w:r w:rsidR="00347790" w:rsidRPr="00201D21">
        <w:rPr>
          <w:rFonts w:ascii="Arial" w:hAnsi="Arial"/>
          <w:sz w:val="24"/>
          <w:szCs w:val="24"/>
        </w:rPr>
        <w:t xml:space="preserve">November 2018 analysis of the National Infrastructure and Construction Pipeline </w:t>
      </w:r>
      <w:r w:rsidR="004B24A8" w:rsidRPr="00201D21">
        <w:rPr>
          <w:rFonts w:ascii="Arial" w:hAnsi="Arial"/>
          <w:sz w:val="24"/>
          <w:szCs w:val="24"/>
        </w:rPr>
        <w:t xml:space="preserve">projected </w:t>
      </w:r>
      <w:r w:rsidR="00295EB6" w:rsidRPr="00201D21">
        <w:rPr>
          <w:rFonts w:ascii="Arial" w:hAnsi="Arial"/>
          <w:sz w:val="24"/>
          <w:szCs w:val="24"/>
        </w:rPr>
        <w:t>a</w:t>
      </w:r>
      <w:r w:rsidR="00375681" w:rsidRPr="00201D21">
        <w:rPr>
          <w:rFonts w:ascii="Arial" w:hAnsi="Arial"/>
          <w:sz w:val="24"/>
          <w:szCs w:val="24"/>
        </w:rPr>
        <w:t>n infrastructure and construction</w:t>
      </w:r>
      <w:r w:rsidR="00295EB6" w:rsidRPr="00201D21">
        <w:rPr>
          <w:rFonts w:ascii="Arial" w:hAnsi="Arial"/>
          <w:sz w:val="24"/>
          <w:szCs w:val="24"/>
        </w:rPr>
        <w:t xml:space="preserve"> pipeline of £600</w:t>
      </w:r>
      <w:r w:rsidR="005B7C16" w:rsidRPr="00201D21">
        <w:rPr>
          <w:rFonts w:ascii="Arial" w:hAnsi="Arial"/>
          <w:sz w:val="24"/>
          <w:szCs w:val="24"/>
        </w:rPr>
        <w:t xml:space="preserve">bn over the next years to 2027-28, </w:t>
      </w:r>
      <w:r w:rsidR="00C45897" w:rsidRPr="00201D21">
        <w:rPr>
          <w:rFonts w:ascii="Arial" w:hAnsi="Arial"/>
          <w:sz w:val="24"/>
          <w:szCs w:val="24"/>
        </w:rPr>
        <w:t>split between social and economic infrastructure</w:t>
      </w:r>
      <w:r w:rsidR="00576EE0" w:rsidRPr="00201D21">
        <w:rPr>
          <w:rFonts w:ascii="Arial" w:hAnsi="Arial"/>
          <w:sz w:val="24"/>
          <w:szCs w:val="24"/>
        </w:rPr>
        <w:t xml:space="preserve">, and public and private funding sources. </w:t>
      </w:r>
    </w:p>
    <w:p w14:paraId="62896CBF" w14:textId="7D172EE7" w:rsidR="00576EE0" w:rsidRPr="00201D21" w:rsidRDefault="00576EE0" w:rsidP="00054B93">
      <w:pPr>
        <w:rPr>
          <w:rFonts w:ascii="Arial" w:hAnsi="Arial"/>
          <w:sz w:val="24"/>
          <w:szCs w:val="24"/>
        </w:rPr>
      </w:pPr>
      <w:r w:rsidRPr="00201D21">
        <w:rPr>
          <w:rFonts w:ascii="Arial" w:hAnsi="Arial"/>
          <w:sz w:val="24"/>
          <w:szCs w:val="24"/>
        </w:rPr>
        <w:t xml:space="preserve">It does not, however, </w:t>
      </w:r>
      <w:r w:rsidR="00176736" w:rsidRPr="00201D21">
        <w:rPr>
          <w:rFonts w:ascii="Arial" w:hAnsi="Arial"/>
          <w:sz w:val="24"/>
          <w:szCs w:val="24"/>
        </w:rPr>
        <w:t xml:space="preserve">(and cannot due to current fiscal and institutional arrangements) </w:t>
      </w:r>
      <w:r w:rsidRPr="00201D21">
        <w:rPr>
          <w:rFonts w:ascii="Arial" w:hAnsi="Arial"/>
          <w:sz w:val="24"/>
          <w:szCs w:val="24"/>
        </w:rPr>
        <w:t>match the pipeline to know</w:t>
      </w:r>
      <w:r w:rsidR="00176736" w:rsidRPr="00201D21">
        <w:rPr>
          <w:rFonts w:ascii="Arial" w:hAnsi="Arial"/>
          <w:sz w:val="24"/>
          <w:szCs w:val="24"/>
        </w:rPr>
        <w:t>n funding sources.</w:t>
      </w:r>
    </w:p>
    <w:p w14:paraId="520C2F77" w14:textId="0DCA87E7" w:rsidR="002D033B" w:rsidRPr="00201D21" w:rsidRDefault="00176736" w:rsidP="00054B93">
      <w:pPr>
        <w:rPr>
          <w:rFonts w:ascii="Arial" w:hAnsi="Arial"/>
          <w:sz w:val="24"/>
          <w:szCs w:val="24"/>
        </w:rPr>
      </w:pPr>
      <w:r w:rsidRPr="00201D21">
        <w:rPr>
          <w:rFonts w:ascii="Arial" w:hAnsi="Arial"/>
          <w:sz w:val="24"/>
          <w:szCs w:val="24"/>
        </w:rPr>
        <w:t xml:space="preserve">As </w:t>
      </w:r>
      <w:r w:rsidRPr="00F23ED2">
        <w:rPr>
          <w:rFonts w:ascii="Arial" w:hAnsi="Arial"/>
          <w:i/>
          <w:iCs/>
          <w:sz w:val="24"/>
          <w:szCs w:val="24"/>
        </w:rPr>
        <w:t>Section 3</w:t>
      </w:r>
      <w:r w:rsidRPr="00201D21">
        <w:rPr>
          <w:rFonts w:ascii="Arial" w:hAnsi="Arial"/>
          <w:sz w:val="24"/>
          <w:szCs w:val="24"/>
        </w:rPr>
        <w:t xml:space="preserve"> identified</w:t>
      </w:r>
      <w:r w:rsidR="00DD0705" w:rsidRPr="00201D21">
        <w:rPr>
          <w:rFonts w:ascii="Arial" w:hAnsi="Arial"/>
          <w:sz w:val="24"/>
          <w:szCs w:val="24"/>
        </w:rPr>
        <w:t xml:space="preserve">, the NIC’s current Fiscal Remit, provides little or no scope </w:t>
      </w:r>
      <w:r w:rsidR="009B3A88" w:rsidRPr="00201D21">
        <w:rPr>
          <w:rFonts w:ascii="Arial" w:hAnsi="Arial"/>
          <w:sz w:val="24"/>
          <w:szCs w:val="24"/>
        </w:rPr>
        <w:t xml:space="preserve">for the inclusion of new projects, regardless </w:t>
      </w:r>
      <w:r w:rsidR="00DE3A6E" w:rsidRPr="00201D21">
        <w:rPr>
          <w:rFonts w:ascii="Arial" w:hAnsi="Arial"/>
          <w:sz w:val="24"/>
          <w:szCs w:val="24"/>
        </w:rPr>
        <w:t>of their economic utility, due to the preemption of the available fiscal envelope by existing projects,</w:t>
      </w:r>
      <w:r w:rsidR="0049208F">
        <w:rPr>
          <w:rFonts w:ascii="Arial" w:hAnsi="Arial"/>
          <w:sz w:val="24"/>
          <w:szCs w:val="24"/>
        </w:rPr>
        <w:t xml:space="preserve"> most notably, HS2</w:t>
      </w:r>
      <w:r w:rsidR="00DE3A6E" w:rsidRPr="00201D21">
        <w:rPr>
          <w:rFonts w:ascii="Arial" w:hAnsi="Arial"/>
          <w:sz w:val="24"/>
          <w:szCs w:val="24"/>
        </w:rPr>
        <w:t xml:space="preserve">. </w:t>
      </w:r>
      <w:r w:rsidR="004A0395" w:rsidRPr="00201D21">
        <w:rPr>
          <w:rFonts w:ascii="Arial" w:hAnsi="Arial"/>
          <w:sz w:val="24"/>
          <w:szCs w:val="24"/>
        </w:rPr>
        <w:t xml:space="preserve"> It also </w:t>
      </w:r>
      <w:r w:rsidR="002D033B" w:rsidRPr="00201D21">
        <w:rPr>
          <w:rFonts w:ascii="Arial" w:hAnsi="Arial"/>
          <w:sz w:val="24"/>
          <w:szCs w:val="24"/>
        </w:rPr>
        <w:t xml:space="preserve">does </w:t>
      </w:r>
      <w:r w:rsidR="004A0395" w:rsidRPr="00201D21">
        <w:rPr>
          <w:rFonts w:ascii="Arial" w:hAnsi="Arial"/>
          <w:sz w:val="24"/>
          <w:szCs w:val="24"/>
        </w:rPr>
        <w:t xml:space="preserve">not </w:t>
      </w:r>
      <w:r w:rsidR="00EB651C">
        <w:rPr>
          <w:rFonts w:ascii="Arial" w:hAnsi="Arial"/>
          <w:sz w:val="24"/>
          <w:szCs w:val="24"/>
        </w:rPr>
        <w:t xml:space="preserve">incorporate </w:t>
      </w:r>
      <w:r w:rsidR="004A0395" w:rsidRPr="00201D21">
        <w:rPr>
          <w:rFonts w:ascii="Arial" w:hAnsi="Arial"/>
          <w:sz w:val="24"/>
          <w:szCs w:val="24"/>
        </w:rPr>
        <w:t>social infrastructure</w:t>
      </w:r>
      <w:r w:rsidR="002D033B" w:rsidRPr="00201D21">
        <w:rPr>
          <w:rFonts w:ascii="Arial" w:hAnsi="Arial"/>
          <w:sz w:val="24"/>
          <w:szCs w:val="24"/>
        </w:rPr>
        <w:t>, such as housing.</w:t>
      </w:r>
    </w:p>
    <w:p w14:paraId="09431FC1" w14:textId="3D41F0E0" w:rsidR="005B2A53" w:rsidRPr="00201D21" w:rsidRDefault="00EB651C" w:rsidP="00054B93">
      <w:pPr>
        <w:rPr>
          <w:rFonts w:ascii="Arial" w:hAnsi="Arial"/>
          <w:sz w:val="24"/>
          <w:szCs w:val="24"/>
        </w:rPr>
      </w:pPr>
      <w:r>
        <w:rPr>
          <w:rFonts w:ascii="Arial" w:hAnsi="Arial"/>
          <w:sz w:val="24"/>
          <w:szCs w:val="24"/>
        </w:rPr>
        <w:t xml:space="preserve">The Remit </w:t>
      </w:r>
      <w:r w:rsidR="005B2A53" w:rsidRPr="00201D21">
        <w:rPr>
          <w:rFonts w:ascii="Arial" w:hAnsi="Arial"/>
          <w:sz w:val="24"/>
          <w:szCs w:val="24"/>
        </w:rPr>
        <w:t>provides the NIC with a gross public investment funding envelope of between 1.0% and 1.2% of GDP in each year between 2020 and 2050</w:t>
      </w:r>
      <w:r w:rsidR="00105D2F" w:rsidRPr="00201D21">
        <w:rPr>
          <w:rFonts w:ascii="Arial" w:hAnsi="Arial"/>
          <w:sz w:val="24"/>
          <w:szCs w:val="24"/>
        </w:rPr>
        <w:t xml:space="preserve">, </w:t>
      </w:r>
      <w:r w:rsidR="009D238C" w:rsidRPr="00201D21">
        <w:rPr>
          <w:rFonts w:ascii="Arial" w:hAnsi="Arial"/>
          <w:sz w:val="24"/>
          <w:szCs w:val="24"/>
        </w:rPr>
        <w:t>but</w:t>
      </w:r>
      <w:r w:rsidR="00105D2F" w:rsidRPr="00201D21">
        <w:rPr>
          <w:rFonts w:ascii="Arial" w:hAnsi="Arial"/>
          <w:sz w:val="24"/>
          <w:szCs w:val="24"/>
        </w:rPr>
        <w:t xml:space="preserve"> existing commitments combined with expected maintenance spending on existing assets will consume an estimated 1.1% of GDP between 2020 and 2025, and 0.9% between 2025 and 2030</w:t>
      </w:r>
      <w:r w:rsidR="005B2A53" w:rsidRPr="00201D21">
        <w:rPr>
          <w:rFonts w:ascii="Arial" w:hAnsi="Arial"/>
          <w:sz w:val="24"/>
          <w:szCs w:val="24"/>
        </w:rPr>
        <w:t>.</w:t>
      </w:r>
    </w:p>
    <w:p w14:paraId="30ED6085" w14:textId="1F06DDEE" w:rsidR="005E3418" w:rsidRPr="00201D21" w:rsidRDefault="00353304" w:rsidP="00326D32">
      <w:pPr>
        <w:rPr>
          <w:rFonts w:ascii="Arial" w:hAnsi="Arial"/>
          <w:sz w:val="24"/>
          <w:szCs w:val="24"/>
        </w:rPr>
      </w:pPr>
      <w:r w:rsidRPr="00201D21">
        <w:rPr>
          <w:rFonts w:ascii="Arial" w:hAnsi="Arial"/>
          <w:sz w:val="24"/>
          <w:szCs w:val="24"/>
        </w:rPr>
        <w:t>Needed</w:t>
      </w:r>
      <w:r w:rsidR="00270666" w:rsidRPr="00201D21">
        <w:rPr>
          <w:rFonts w:ascii="Arial" w:hAnsi="Arial"/>
          <w:sz w:val="24"/>
          <w:szCs w:val="24"/>
        </w:rPr>
        <w:t xml:space="preserve"> infrastructural investment will</w:t>
      </w:r>
      <w:r w:rsidR="00932D1E">
        <w:rPr>
          <w:rFonts w:ascii="Arial" w:hAnsi="Arial"/>
          <w:sz w:val="24"/>
          <w:szCs w:val="24"/>
        </w:rPr>
        <w:t>, therefore,</w:t>
      </w:r>
      <w:r w:rsidR="00270666" w:rsidRPr="00201D21">
        <w:rPr>
          <w:rFonts w:ascii="Arial" w:hAnsi="Arial"/>
          <w:sz w:val="24"/>
          <w:szCs w:val="24"/>
        </w:rPr>
        <w:t xml:space="preserve"> </w:t>
      </w:r>
      <w:r w:rsidR="00387D65" w:rsidRPr="00201D21">
        <w:rPr>
          <w:rFonts w:ascii="Arial" w:hAnsi="Arial"/>
          <w:sz w:val="24"/>
          <w:szCs w:val="24"/>
        </w:rPr>
        <w:t>not occur unless that fiscal constraint is lifted</w:t>
      </w:r>
      <w:r w:rsidR="0016723F" w:rsidRPr="00201D21">
        <w:rPr>
          <w:rFonts w:ascii="Arial" w:hAnsi="Arial"/>
          <w:sz w:val="24"/>
          <w:szCs w:val="24"/>
        </w:rPr>
        <w:t xml:space="preserve">. </w:t>
      </w:r>
    </w:p>
    <w:p w14:paraId="763AE871" w14:textId="03237DD7" w:rsidR="00721E7D" w:rsidRPr="00201D21" w:rsidRDefault="00B27DD9" w:rsidP="00326D32">
      <w:pPr>
        <w:rPr>
          <w:rFonts w:ascii="Arial" w:hAnsi="Arial"/>
          <w:sz w:val="24"/>
          <w:szCs w:val="24"/>
        </w:rPr>
      </w:pPr>
      <w:r>
        <w:rPr>
          <w:rFonts w:ascii="Arial" w:hAnsi="Arial"/>
          <w:sz w:val="24"/>
          <w:szCs w:val="24"/>
        </w:rPr>
        <w:t>N</w:t>
      </w:r>
      <w:r w:rsidR="008773C3" w:rsidRPr="00201D21">
        <w:rPr>
          <w:rFonts w:ascii="Arial" w:hAnsi="Arial"/>
          <w:sz w:val="24"/>
          <w:szCs w:val="24"/>
        </w:rPr>
        <w:t>et public investment at constant 2017-18 prices</w:t>
      </w:r>
      <w:r w:rsidR="00315716" w:rsidRPr="00201D21">
        <w:rPr>
          <w:rFonts w:ascii="Arial" w:hAnsi="Arial"/>
          <w:sz w:val="24"/>
          <w:szCs w:val="24"/>
        </w:rPr>
        <w:t xml:space="preserve">, will – on current plans </w:t>
      </w:r>
      <w:r w:rsidR="00721E7D" w:rsidRPr="00201D21">
        <w:rPr>
          <w:rFonts w:ascii="Arial" w:hAnsi="Arial"/>
          <w:sz w:val="24"/>
          <w:szCs w:val="24"/>
        </w:rPr>
        <w:t>–</w:t>
      </w:r>
      <w:r w:rsidR="00315716" w:rsidRPr="00201D21">
        <w:rPr>
          <w:rFonts w:ascii="Arial" w:hAnsi="Arial"/>
          <w:sz w:val="24"/>
          <w:szCs w:val="24"/>
        </w:rPr>
        <w:t xml:space="preserve"> </w:t>
      </w:r>
      <w:r w:rsidR="00721E7D" w:rsidRPr="00201D21">
        <w:rPr>
          <w:rFonts w:ascii="Arial" w:hAnsi="Arial"/>
          <w:sz w:val="24"/>
          <w:szCs w:val="24"/>
        </w:rPr>
        <w:t xml:space="preserve">is </w:t>
      </w:r>
      <w:r w:rsidRPr="001667B4">
        <w:rPr>
          <w:rFonts w:ascii="Arial" w:hAnsi="Arial"/>
          <w:i/>
          <w:iCs/>
          <w:sz w:val="24"/>
          <w:szCs w:val="24"/>
        </w:rPr>
        <w:t>forecast</w:t>
      </w:r>
      <w:r>
        <w:rPr>
          <w:rFonts w:ascii="Arial" w:hAnsi="Arial"/>
          <w:sz w:val="24"/>
          <w:szCs w:val="24"/>
        </w:rPr>
        <w:t xml:space="preserve"> </w:t>
      </w:r>
      <w:r w:rsidR="00721E7D" w:rsidRPr="00201D21">
        <w:rPr>
          <w:rFonts w:ascii="Arial" w:hAnsi="Arial"/>
          <w:sz w:val="24"/>
          <w:szCs w:val="24"/>
        </w:rPr>
        <w:t xml:space="preserve">to </w:t>
      </w:r>
      <w:r w:rsidR="00F96A7E">
        <w:rPr>
          <w:rFonts w:ascii="Arial" w:hAnsi="Arial"/>
          <w:sz w:val="24"/>
          <w:szCs w:val="24"/>
        </w:rPr>
        <w:t>re</w:t>
      </w:r>
      <w:r w:rsidR="00D879BB">
        <w:rPr>
          <w:rFonts w:ascii="Arial" w:hAnsi="Arial"/>
          <w:sz w:val="24"/>
          <w:szCs w:val="24"/>
        </w:rPr>
        <w:t xml:space="preserve">ach </w:t>
      </w:r>
      <w:r w:rsidR="00315716" w:rsidRPr="00201D21">
        <w:rPr>
          <w:rFonts w:ascii="Arial" w:hAnsi="Arial"/>
          <w:sz w:val="24"/>
          <w:szCs w:val="24"/>
        </w:rPr>
        <w:t>£</w:t>
      </w:r>
      <w:r w:rsidR="00D879BB">
        <w:rPr>
          <w:rFonts w:ascii="Arial" w:hAnsi="Arial"/>
          <w:sz w:val="24"/>
          <w:szCs w:val="24"/>
        </w:rPr>
        <w:t>50bn later</w:t>
      </w:r>
      <w:r w:rsidR="00721E7D" w:rsidRPr="00201D21">
        <w:rPr>
          <w:rFonts w:ascii="Arial" w:hAnsi="Arial"/>
          <w:sz w:val="24"/>
          <w:szCs w:val="24"/>
        </w:rPr>
        <w:t xml:space="preserve"> this decade. </w:t>
      </w:r>
    </w:p>
    <w:p w14:paraId="331B36C5" w14:textId="6A212395" w:rsidR="0065585B" w:rsidRPr="00201D21" w:rsidRDefault="007C0D15" w:rsidP="00326D32">
      <w:pPr>
        <w:rPr>
          <w:rFonts w:ascii="Arial" w:hAnsi="Arial"/>
          <w:sz w:val="24"/>
          <w:szCs w:val="24"/>
        </w:rPr>
      </w:pPr>
      <w:r w:rsidRPr="00201D21">
        <w:rPr>
          <w:rFonts w:ascii="Arial" w:hAnsi="Arial"/>
          <w:sz w:val="24"/>
          <w:szCs w:val="24"/>
        </w:rPr>
        <w:t xml:space="preserve">Even if </w:t>
      </w:r>
      <w:r w:rsidR="00742FD7" w:rsidRPr="00201D21">
        <w:rPr>
          <w:rFonts w:ascii="Arial" w:hAnsi="Arial"/>
          <w:sz w:val="24"/>
          <w:szCs w:val="24"/>
        </w:rPr>
        <w:t>SR2019 increase</w:t>
      </w:r>
      <w:r w:rsidRPr="00201D21">
        <w:rPr>
          <w:rFonts w:ascii="Arial" w:hAnsi="Arial"/>
          <w:sz w:val="24"/>
          <w:szCs w:val="24"/>
        </w:rPr>
        <w:t>d</w:t>
      </w:r>
      <w:r w:rsidR="00742FD7" w:rsidRPr="00201D21">
        <w:rPr>
          <w:rFonts w:ascii="Arial" w:hAnsi="Arial"/>
          <w:sz w:val="24"/>
          <w:szCs w:val="24"/>
        </w:rPr>
        <w:t xml:space="preserve"> that level</w:t>
      </w:r>
      <w:r w:rsidR="00094B08">
        <w:rPr>
          <w:rFonts w:ascii="Arial" w:hAnsi="Arial"/>
          <w:sz w:val="24"/>
          <w:szCs w:val="24"/>
        </w:rPr>
        <w:t xml:space="preserve"> significantly</w:t>
      </w:r>
      <w:r w:rsidRPr="00201D21">
        <w:rPr>
          <w:rFonts w:ascii="Arial" w:hAnsi="Arial"/>
          <w:sz w:val="24"/>
          <w:szCs w:val="24"/>
        </w:rPr>
        <w:t>, that would not be sufficient to close the infrastructural funding gap</w:t>
      </w:r>
      <w:r w:rsidR="00461DB9" w:rsidRPr="00201D21">
        <w:rPr>
          <w:rFonts w:ascii="Arial" w:hAnsi="Arial"/>
          <w:sz w:val="24"/>
          <w:szCs w:val="24"/>
        </w:rPr>
        <w:t xml:space="preserve"> for needed economic infrastructure, let alone </w:t>
      </w:r>
      <w:r w:rsidR="00286F0F" w:rsidRPr="00201D21">
        <w:rPr>
          <w:rFonts w:ascii="Arial" w:hAnsi="Arial"/>
          <w:sz w:val="24"/>
          <w:szCs w:val="24"/>
        </w:rPr>
        <w:t>social infrastructural requirements</w:t>
      </w:r>
      <w:r w:rsidR="00EC7F7F">
        <w:rPr>
          <w:rFonts w:ascii="Arial" w:hAnsi="Arial"/>
          <w:sz w:val="24"/>
          <w:szCs w:val="24"/>
        </w:rPr>
        <w:t>,</w:t>
      </w:r>
      <w:r w:rsidR="00286F0F" w:rsidRPr="00201D21">
        <w:rPr>
          <w:rFonts w:ascii="Arial" w:hAnsi="Arial"/>
          <w:sz w:val="24"/>
          <w:szCs w:val="24"/>
        </w:rPr>
        <w:t xml:space="preserve"> linked, for example, to the government’s </w:t>
      </w:r>
      <w:r w:rsidR="00EC7F7F">
        <w:rPr>
          <w:rFonts w:ascii="Arial" w:hAnsi="Arial"/>
          <w:sz w:val="24"/>
          <w:szCs w:val="24"/>
        </w:rPr>
        <w:t xml:space="preserve">(and by the other main political parties) </w:t>
      </w:r>
      <w:r w:rsidR="00286F0F" w:rsidRPr="00201D21">
        <w:rPr>
          <w:rFonts w:ascii="Arial" w:hAnsi="Arial"/>
          <w:sz w:val="24"/>
          <w:szCs w:val="24"/>
        </w:rPr>
        <w:t xml:space="preserve">often expressed commitment to </w:t>
      </w:r>
      <w:r w:rsidR="0065585B" w:rsidRPr="00201D21">
        <w:rPr>
          <w:rFonts w:ascii="Arial" w:hAnsi="Arial"/>
          <w:sz w:val="24"/>
          <w:szCs w:val="24"/>
        </w:rPr>
        <w:t xml:space="preserve">increase annual new housing supply to 300,000 dwellings in England. </w:t>
      </w:r>
    </w:p>
    <w:p w14:paraId="1A17AE14" w14:textId="29EBB626" w:rsidR="00D65102" w:rsidRPr="00201D21" w:rsidRDefault="0065585B" w:rsidP="00326D32">
      <w:pPr>
        <w:rPr>
          <w:rFonts w:ascii="Arial" w:hAnsi="Arial"/>
          <w:sz w:val="24"/>
          <w:szCs w:val="24"/>
        </w:rPr>
      </w:pPr>
      <w:r w:rsidRPr="00201D21">
        <w:rPr>
          <w:rFonts w:ascii="Arial" w:hAnsi="Arial"/>
          <w:sz w:val="24"/>
          <w:szCs w:val="24"/>
        </w:rPr>
        <w:t xml:space="preserve">That is simply is simply </w:t>
      </w:r>
      <w:r w:rsidR="005005F2" w:rsidRPr="00201D21">
        <w:rPr>
          <w:rFonts w:ascii="Arial" w:hAnsi="Arial"/>
          <w:sz w:val="24"/>
          <w:szCs w:val="24"/>
        </w:rPr>
        <w:t xml:space="preserve">a ‘head-in-the clouds’ aspirational pipedream </w:t>
      </w:r>
      <w:r w:rsidR="00BA3910" w:rsidRPr="00201D21">
        <w:rPr>
          <w:rFonts w:ascii="Arial" w:hAnsi="Arial"/>
          <w:sz w:val="24"/>
          <w:szCs w:val="24"/>
        </w:rPr>
        <w:t xml:space="preserve">given the current ‘broken’ housing market and </w:t>
      </w:r>
      <w:r w:rsidR="00EC7F7F">
        <w:rPr>
          <w:rFonts w:ascii="Arial" w:hAnsi="Arial"/>
          <w:sz w:val="24"/>
          <w:szCs w:val="24"/>
        </w:rPr>
        <w:t xml:space="preserve">the </w:t>
      </w:r>
      <w:r w:rsidR="00BA3910" w:rsidRPr="00201D21">
        <w:rPr>
          <w:rFonts w:ascii="Arial" w:hAnsi="Arial"/>
          <w:sz w:val="24"/>
          <w:szCs w:val="24"/>
        </w:rPr>
        <w:t xml:space="preserve">available public capital budgets for housing. </w:t>
      </w:r>
    </w:p>
    <w:p w14:paraId="1E6FD1F4" w14:textId="6CD68AC1" w:rsidR="00326D32" w:rsidRPr="00201D21" w:rsidRDefault="00D65102" w:rsidP="00326D32">
      <w:pPr>
        <w:rPr>
          <w:rFonts w:ascii="Arial" w:hAnsi="Arial"/>
          <w:sz w:val="24"/>
          <w:szCs w:val="24"/>
        </w:rPr>
      </w:pPr>
      <w:r w:rsidRPr="00201D21">
        <w:rPr>
          <w:rFonts w:ascii="Arial" w:hAnsi="Arial"/>
          <w:sz w:val="24"/>
          <w:szCs w:val="24"/>
        </w:rPr>
        <w:t xml:space="preserve">But a step-change in the supply of affordable housing is, indeed, needed </w:t>
      </w:r>
      <w:r w:rsidR="00910E49" w:rsidRPr="00201D21">
        <w:rPr>
          <w:rFonts w:ascii="Arial" w:hAnsi="Arial"/>
          <w:sz w:val="24"/>
          <w:szCs w:val="24"/>
        </w:rPr>
        <w:t xml:space="preserve">if growth and productivity is to </w:t>
      </w:r>
      <w:r w:rsidR="004B35A7">
        <w:rPr>
          <w:rFonts w:ascii="Arial" w:hAnsi="Arial"/>
          <w:sz w:val="24"/>
          <w:szCs w:val="24"/>
        </w:rPr>
        <w:t xml:space="preserve">be </w:t>
      </w:r>
      <w:r w:rsidR="00910E49" w:rsidRPr="00201D21">
        <w:rPr>
          <w:rFonts w:ascii="Arial" w:hAnsi="Arial"/>
          <w:sz w:val="24"/>
          <w:szCs w:val="24"/>
        </w:rPr>
        <w:t xml:space="preserve">fostered in the way that </w:t>
      </w:r>
      <w:r w:rsidR="00910E49" w:rsidRPr="00222C4D">
        <w:rPr>
          <w:rFonts w:ascii="Arial" w:hAnsi="Arial"/>
          <w:i/>
          <w:iCs/>
          <w:sz w:val="24"/>
          <w:szCs w:val="24"/>
        </w:rPr>
        <w:t xml:space="preserve">section </w:t>
      </w:r>
      <w:r w:rsidR="009A18EB" w:rsidRPr="00222C4D">
        <w:rPr>
          <w:rFonts w:ascii="Arial" w:hAnsi="Arial"/>
          <w:i/>
          <w:iCs/>
          <w:sz w:val="24"/>
          <w:szCs w:val="24"/>
        </w:rPr>
        <w:t>1</w:t>
      </w:r>
      <w:r w:rsidR="009A18EB" w:rsidRPr="00201D21">
        <w:rPr>
          <w:rFonts w:ascii="Arial" w:hAnsi="Arial"/>
          <w:sz w:val="24"/>
          <w:szCs w:val="24"/>
        </w:rPr>
        <w:t xml:space="preserve"> outlined</w:t>
      </w:r>
      <w:r w:rsidR="00222C4D">
        <w:rPr>
          <w:rFonts w:ascii="Arial" w:hAnsi="Arial"/>
          <w:sz w:val="24"/>
          <w:szCs w:val="24"/>
        </w:rPr>
        <w:t xml:space="preserve">, </w:t>
      </w:r>
      <w:r w:rsidR="00207BAC">
        <w:rPr>
          <w:rFonts w:ascii="Arial" w:hAnsi="Arial"/>
          <w:sz w:val="24"/>
          <w:szCs w:val="24"/>
        </w:rPr>
        <w:t>dampen</w:t>
      </w:r>
      <w:r w:rsidR="00657378">
        <w:rPr>
          <w:rFonts w:ascii="Arial" w:hAnsi="Arial"/>
          <w:sz w:val="24"/>
          <w:szCs w:val="24"/>
        </w:rPr>
        <w:t>ing</w:t>
      </w:r>
      <w:r w:rsidR="00BC35E5">
        <w:rPr>
          <w:rFonts w:ascii="Arial" w:hAnsi="Arial"/>
          <w:sz w:val="24"/>
          <w:szCs w:val="24"/>
        </w:rPr>
        <w:t xml:space="preserve"> future class-area-and generational based social </w:t>
      </w:r>
      <w:r w:rsidR="00AC3685">
        <w:rPr>
          <w:rFonts w:ascii="Arial" w:hAnsi="Arial"/>
          <w:sz w:val="24"/>
          <w:szCs w:val="24"/>
        </w:rPr>
        <w:t>conflict</w:t>
      </w:r>
      <w:r w:rsidR="00BC35E5">
        <w:rPr>
          <w:rFonts w:ascii="Arial" w:hAnsi="Arial"/>
          <w:sz w:val="24"/>
          <w:szCs w:val="24"/>
        </w:rPr>
        <w:t>.</w:t>
      </w:r>
    </w:p>
    <w:p w14:paraId="2A869FB0" w14:textId="28CA3D59" w:rsidR="00326D32" w:rsidRPr="00201D21" w:rsidRDefault="009A18EB" w:rsidP="00326D32">
      <w:pPr>
        <w:rPr>
          <w:rFonts w:ascii="Arial" w:hAnsi="Arial"/>
          <w:sz w:val="24"/>
          <w:szCs w:val="24"/>
        </w:rPr>
      </w:pPr>
      <w:r w:rsidRPr="00201D21">
        <w:rPr>
          <w:rFonts w:ascii="Arial" w:hAnsi="Arial"/>
          <w:sz w:val="24"/>
          <w:szCs w:val="24"/>
        </w:rPr>
        <w:t>The</w:t>
      </w:r>
      <w:r w:rsidR="0058727C" w:rsidRPr="00201D21">
        <w:rPr>
          <w:rFonts w:ascii="Arial" w:hAnsi="Arial"/>
          <w:sz w:val="24"/>
          <w:szCs w:val="24"/>
        </w:rPr>
        <w:t xml:space="preserve"> </w:t>
      </w:r>
      <w:r w:rsidR="00326D32" w:rsidRPr="00201D21">
        <w:rPr>
          <w:rFonts w:ascii="Arial" w:hAnsi="Arial"/>
          <w:sz w:val="24"/>
          <w:szCs w:val="24"/>
        </w:rPr>
        <w:t xml:space="preserve">sheer scale of future infrastructural funding requirements </w:t>
      </w:r>
      <w:r w:rsidR="00201D21">
        <w:rPr>
          <w:rFonts w:ascii="Arial" w:hAnsi="Arial"/>
          <w:sz w:val="24"/>
          <w:szCs w:val="24"/>
        </w:rPr>
        <w:t xml:space="preserve">coupled </w:t>
      </w:r>
      <w:r w:rsidR="00222C4D">
        <w:rPr>
          <w:rFonts w:ascii="Arial" w:hAnsi="Arial"/>
          <w:sz w:val="24"/>
          <w:szCs w:val="24"/>
        </w:rPr>
        <w:t xml:space="preserve">with the relative investment price effect explained below, </w:t>
      </w:r>
      <w:r w:rsidR="00326D32" w:rsidRPr="00201D21">
        <w:rPr>
          <w:rFonts w:ascii="Arial" w:hAnsi="Arial"/>
          <w:sz w:val="24"/>
          <w:szCs w:val="24"/>
        </w:rPr>
        <w:t>means that in the absence of the development of alternative and innovative public funding mechanisms, many productive projects will not proceed, regardless of the design and operation of an effective and combined</w:t>
      </w:r>
      <w:r w:rsidR="00326D32" w:rsidRPr="00326D32">
        <w:rPr>
          <w:rFonts w:ascii="Arial" w:eastAsia="Times New Roman" w:hAnsi="Arial" w:cs="Times New Roman"/>
          <w:color w:val="666666"/>
          <w:sz w:val="24"/>
          <w:szCs w:val="24"/>
        </w:rPr>
        <w:t xml:space="preserve"> </w:t>
      </w:r>
      <w:r w:rsidR="00326D32" w:rsidRPr="00201D21">
        <w:rPr>
          <w:rFonts w:ascii="Arial" w:hAnsi="Arial"/>
          <w:sz w:val="24"/>
          <w:szCs w:val="24"/>
        </w:rPr>
        <w:t>reformed fiscal rules framework and infrastructural institutional environment.</w:t>
      </w:r>
      <w:r w:rsidR="00326D32" w:rsidRPr="00201D21">
        <w:rPr>
          <w:rFonts w:ascii="Arial" w:hAnsi="Arial"/>
          <w:sz w:val="24"/>
          <w:szCs w:val="24"/>
        </w:rPr>
        <w:tab/>
      </w:r>
    </w:p>
    <w:p w14:paraId="615BD338" w14:textId="7D95EEC4" w:rsidR="00AE127B" w:rsidRDefault="00176736" w:rsidP="00054B93">
      <w:pPr>
        <w:rPr>
          <w:rFonts w:ascii="Arial" w:eastAsia="Times New Roman" w:hAnsi="Arial" w:cs="Times New Roman"/>
          <w:color w:val="666666"/>
          <w:sz w:val="24"/>
          <w:szCs w:val="24"/>
        </w:rPr>
      </w:pPr>
      <w:r>
        <w:rPr>
          <w:rFonts w:ascii="Arial" w:eastAsia="Times New Roman" w:hAnsi="Arial" w:cs="Times New Roman"/>
          <w:color w:val="666666"/>
          <w:sz w:val="24"/>
          <w:szCs w:val="24"/>
        </w:rPr>
        <w:t xml:space="preserve"> </w:t>
      </w:r>
    </w:p>
    <w:p w14:paraId="7BF5E1B1" w14:textId="77777777" w:rsidR="00657378" w:rsidRDefault="00657378" w:rsidP="00054B93">
      <w:pPr>
        <w:rPr>
          <w:rFonts w:ascii="Arial" w:eastAsia="Times New Roman" w:hAnsi="Arial" w:cs="Times New Roman"/>
          <w:color w:val="666666"/>
          <w:sz w:val="24"/>
          <w:szCs w:val="24"/>
        </w:rPr>
      </w:pPr>
    </w:p>
    <w:p w14:paraId="57264EB6" w14:textId="77777777" w:rsidR="00D264F2" w:rsidRPr="005A1154" w:rsidRDefault="00D264F2" w:rsidP="00D264F2">
      <w:pPr>
        <w:spacing w:after="390" w:line="240" w:lineRule="auto"/>
        <w:rPr>
          <w:rFonts w:ascii="Arial" w:hAnsi="Arial"/>
          <w:sz w:val="24"/>
          <w:szCs w:val="24"/>
          <w:u w:val="single"/>
        </w:rPr>
      </w:pPr>
      <w:r w:rsidRPr="005A1154">
        <w:rPr>
          <w:rFonts w:ascii="Arial" w:hAnsi="Arial"/>
          <w:sz w:val="24"/>
          <w:szCs w:val="24"/>
          <w:u w:val="single"/>
        </w:rPr>
        <w:lastRenderedPageBreak/>
        <w:t xml:space="preserve">The public investment relative price effect </w:t>
      </w:r>
    </w:p>
    <w:p w14:paraId="73A671AF" w14:textId="77777777" w:rsidR="00D264F2" w:rsidRPr="002E410F" w:rsidRDefault="00D264F2" w:rsidP="00D264F2">
      <w:pPr>
        <w:spacing w:after="390" w:line="240" w:lineRule="auto"/>
        <w:rPr>
          <w:rFonts w:ascii="Arial" w:hAnsi="Arial"/>
          <w:sz w:val="24"/>
          <w:szCs w:val="24"/>
        </w:rPr>
      </w:pPr>
      <w:r w:rsidRPr="002E410F">
        <w:rPr>
          <w:rFonts w:ascii="Arial" w:hAnsi="Arial"/>
          <w:sz w:val="24"/>
          <w:szCs w:val="24"/>
        </w:rPr>
        <w:t>Another problem is that infrastructural investment has become relatively more expensive. The cost or providing a new runway at Heathrow at current prices cannot be estimated or computed relative to the cost of doing so in the immediate post-war period, by simply allowing for the changes in the general price level.</w:t>
      </w:r>
    </w:p>
    <w:p w14:paraId="5364310C" w14:textId="77777777" w:rsidR="00D264F2" w:rsidRPr="002E410F" w:rsidRDefault="00D264F2" w:rsidP="00D264F2">
      <w:pPr>
        <w:spacing w:after="390" w:line="240" w:lineRule="auto"/>
        <w:rPr>
          <w:rFonts w:ascii="Arial" w:hAnsi="Arial"/>
          <w:sz w:val="24"/>
          <w:szCs w:val="24"/>
        </w:rPr>
      </w:pPr>
      <w:r w:rsidRPr="002E410F">
        <w:rPr>
          <w:rFonts w:ascii="Arial" w:hAnsi="Arial"/>
          <w:sz w:val="24"/>
          <w:szCs w:val="24"/>
        </w:rPr>
        <w:t xml:space="preserve">The land assembly, compensation, planning, and other associated costs now involved in providing a new runway in that location, have escalated much faster than general inflation. </w:t>
      </w:r>
    </w:p>
    <w:p w14:paraId="45BA778B" w14:textId="77777777" w:rsidR="00D264F2" w:rsidRPr="002E410F" w:rsidRDefault="00D264F2" w:rsidP="00D264F2">
      <w:pPr>
        <w:spacing w:after="390" w:line="240" w:lineRule="auto"/>
        <w:rPr>
          <w:rFonts w:ascii="Arial" w:hAnsi="Arial"/>
          <w:sz w:val="24"/>
          <w:szCs w:val="24"/>
        </w:rPr>
      </w:pPr>
      <w:r w:rsidRPr="002E410F">
        <w:rPr>
          <w:rFonts w:ascii="Arial" w:hAnsi="Arial"/>
          <w:sz w:val="24"/>
          <w:szCs w:val="24"/>
        </w:rPr>
        <w:t xml:space="preserve">The escalating cost of land as a component of housing investment is another striking instance of that relative price effect. </w:t>
      </w:r>
    </w:p>
    <w:p w14:paraId="1D88F5B3" w14:textId="77777777" w:rsidR="00D264F2" w:rsidRDefault="00D264F2" w:rsidP="00D264F2">
      <w:pPr>
        <w:spacing w:after="390" w:line="240" w:lineRule="auto"/>
        <w:rPr>
          <w:rFonts w:ascii="Arial" w:hAnsi="Arial"/>
          <w:sz w:val="24"/>
          <w:szCs w:val="24"/>
        </w:rPr>
      </w:pPr>
      <w:r w:rsidRPr="002E410F">
        <w:rPr>
          <w:rFonts w:ascii="Arial" w:hAnsi="Arial"/>
          <w:sz w:val="24"/>
          <w:szCs w:val="24"/>
        </w:rPr>
        <w:t>Generally, the unit cost, x, of providing y amount of infrastructure has risen considerably above the changes in the price level, varying with category</w:t>
      </w:r>
      <w:r>
        <w:rPr>
          <w:rFonts w:ascii="Arial" w:hAnsi="Arial"/>
          <w:sz w:val="24"/>
          <w:szCs w:val="24"/>
        </w:rPr>
        <w:t>.</w:t>
      </w:r>
    </w:p>
    <w:p w14:paraId="177B9164" w14:textId="2F04F0DA" w:rsidR="00657378" w:rsidRPr="00657378" w:rsidRDefault="00657378" w:rsidP="00D264F2">
      <w:pPr>
        <w:spacing w:after="390" w:line="240" w:lineRule="auto"/>
        <w:rPr>
          <w:rFonts w:ascii="Arial" w:hAnsi="Arial"/>
          <w:sz w:val="24"/>
          <w:szCs w:val="24"/>
          <w:u w:val="single"/>
        </w:rPr>
      </w:pPr>
      <w:r w:rsidRPr="00657378">
        <w:rPr>
          <w:rFonts w:ascii="Arial" w:hAnsi="Arial"/>
          <w:sz w:val="24"/>
          <w:szCs w:val="24"/>
          <w:u w:val="single"/>
        </w:rPr>
        <w:t xml:space="preserve">Intervening to reduce the cost of public investment </w:t>
      </w:r>
    </w:p>
    <w:p w14:paraId="2A46A494" w14:textId="66CC3E28" w:rsidR="00D264F2" w:rsidRDefault="00D264F2" w:rsidP="00D264F2">
      <w:pPr>
        <w:spacing w:after="390" w:line="240" w:lineRule="auto"/>
        <w:rPr>
          <w:rFonts w:ascii="Arial" w:hAnsi="Arial"/>
          <w:sz w:val="24"/>
          <w:szCs w:val="24"/>
        </w:rPr>
      </w:pPr>
      <w:r>
        <w:rPr>
          <w:rFonts w:ascii="Arial" w:hAnsi="Arial"/>
          <w:sz w:val="24"/>
          <w:szCs w:val="24"/>
        </w:rPr>
        <w:t xml:space="preserve">It reinforces the need for mechanism to be identified and developed that </w:t>
      </w:r>
      <w:r w:rsidR="000C6669">
        <w:rPr>
          <w:rFonts w:ascii="Arial" w:hAnsi="Arial"/>
          <w:sz w:val="24"/>
          <w:szCs w:val="24"/>
        </w:rPr>
        <w:t xml:space="preserve">can directly </w:t>
      </w:r>
      <w:r>
        <w:rPr>
          <w:rFonts w:ascii="Arial" w:hAnsi="Arial"/>
          <w:sz w:val="24"/>
          <w:szCs w:val="24"/>
        </w:rPr>
        <w:t xml:space="preserve">reduce the cost of productive infrastructural investment to the public purse. </w:t>
      </w:r>
    </w:p>
    <w:p w14:paraId="22E03352" w14:textId="77777777" w:rsidR="00657378" w:rsidRPr="00D85945" w:rsidRDefault="00657378" w:rsidP="00657378">
      <w:pPr>
        <w:spacing w:after="390" w:line="240" w:lineRule="auto"/>
        <w:rPr>
          <w:rFonts w:ascii="Arial" w:hAnsi="Arial"/>
          <w:sz w:val="24"/>
          <w:szCs w:val="24"/>
        </w:rPr>
      </w:pPr>
      <w:r w:rsidRPr="00D85945">
        <w:rPr>
          <w:rFonts w:ascii="Arial" w:hAnsi="Arial"/>
          <w:sz w:val="24"/>
          <w:szCs w:val="24"/>
        </w:rPr>
        <w:t xml:space="preserve">Housing </w:t>
      </w:r>
      <w:r>
        <w:rPr>
          <w:rFonts w:ascii="Arial" w:hAnsi="Arial"/>
          <w:sz w:val="24"/>
          <w:szCs w:val="24"/>
        </w:rPr>
        <w:t>is</w:t>
      </w:r>
      <w:r w:rsidRPr="00D85945">
        <w:rPr>
          <w:rFonts w:ascii="Arial" w:hAnsi="Arial"/>
          <w:sz w:val="24"/>
          <w:szCs w:val="24"/>
        </w:rPr>
        <w:t xml:space="preserve"> a case in point where wider </w:t>
      </w:r>
      <w:r>
        <w:rPr>
          <w:rFonts w:ascii="Arial" w:hAnsi="Arial"/>
          <w:sz w:val="24"/>
          <w:szCs w:val="24"/>
        </w:rPr>
        <w:t xml:space="preserve">entrenched and endemic </w:t>
      </w:r>
      <w:r w:rsidRPr="00D85945">
        <w:rPr>
          <w:rFonts w:ascii="Arial" w:hAnsi="Arial"/>
          <w:sz w:val="24"/>
          <w:szCs w:val="24"/>
        </w:rPr>
        <w:t xml:space="preserve">market failure requires more radical and comprehensive reform than </w:t>
      </w:r>
      <w:r>
        <w:rPr>
          <w:rFonts w:ascii="Arial" w:hAnsi="Arial"/>
          <w:sz w:val="24"/>
          <w:szCs w:val="24"/>
        </w:rPr>
        <w:t xml:space="preserve">the </w:t>
      </w:r>
      <w:r w:rsidRPr="00D85945">
        <w:rPr>
          <w:rFonts w:ascii="Arial" w:hAnsi="Arial"/>
          <w:sz w:val="24"/>
          <w:szCs w:val="24"/>
        </w:rPr>
        <w:t>micro-reform</w:t>
      </w:r>
      <w:r>
        <w:rPr>
          <w:rFonts w:ascii="Arial" w:hAnsi="Arial"/>
          <w:sz w:val="24"/>
          <w:szCs w:val="24"/>
        </w:rPr>
        <w:t>s</w:t>
      </w:r>
      <w:r w:rsidRPr="00D85945">
        <w:rPr>
          <w:rFonts w:ascii="Arial" w:hAnsi="Arial"/>
          <w:sz w:val="24"/>
          <w:szCs w:val="24"/>
        </w:rPr>
        <w:t xml:space="preserve"> to lending institutions</w:t>
      </w:r>
      <w:r>
        <w:rPr>
          <w:rFonts w:ascii="Arial" w:hAnsi="Arial"/>
          <w:sz w:val="24"/>
          <w:szCs w:val="24"/>
        </w:rPr>
        <w:t xml:space="preserve"> and arrangements that the </w:t>
      </w:r>
      <w:r w:rsidRPr="000C6669">
        <w:rPr>
          <w:rFonts w:ascii="Arial" w:hAnsi="Arial"/>
          <w:i/>
          <w:iCs/>
          <w:sz w:val="24"/>
          <w:szCs w:val="24"/>
        </w:rPr>
        <w:t>Consultation</w:t>
      </w:r>
      <w:r>
        <w:rPr>
          <w:rFonts w:ascii="Arial" w:hAnsi="Arial"/>
          <w:sz w:val="24"/>
          <w:szCs w:val="24"/>
        </w:rPr>
        <w:t xml:space="preserve"> focused on. </w:t>
      </w:r>
    </w:p>
    <w:p w14:paraId="0E1D998C" w14:textId="77777777" w:rsidR="00657378" w:rsidRDefault="00657378" w:rsidP="00657378">
      <w:pPr>
        <w:spacing w:after="390" w:line="240" w:lineRule="auto"/>
        <w:rPr>
          <w:rFonts w:ascii="Arial" w:hAnsi="Arial"/>
          <w:sz w:val="24"/>
          <w:szCs w:val="24"/>
        </w:rPr>
      </w:pPr>
      <w:r w:rsidRPr="00D85945">
        <w:rPr>
          <w:rFonts w:ascii="Arial" w:hAnsi="Arial"/>
          <w:sz w:val="24"/>
          <w:szCs w:val="24"/>
        </w:rPr>
        <w:t>Th</w:t>
      </w:r>
      <w:r>
        <w:rPr>
          <w:rFonts w:ascii="Arial" w:hAnsi="Arial"/>
          <w:sz w:val="24"/>
          <w:szCs w:val="24"/>
        </w:rPr>
        <w:t>ese</w:t>
      </w:r>
      <w:r w:rsidRPr="00D85945">
        <w:rPr>
          <w:rFonts w:ascii="Arial" w:hAnsi="Arial"/>
          <w:sz w:val="24"/>
          <w:szCs w:val="24"/>
        </w:rPr>
        <w:t xml:space="preserve"> could include reducing the cost of public investment by direct land value capture through the reform of the compulsory purchase rules, and the use of a public lending intermediary to channel capital to a wider range of private firms on a more steady-state rather than fluctuating cyclical basis, at minimal long-term public subsidy</w:t>
      </w:r>
      <w:r>
        <w:rPr>
          <w:rFonts w:ascii="Arial" w:hAnsi="Arial"/>
          <w:sz w:val="24"/>
          <w:szCs w:val="24"/>
        </w:rPr>
        <w:t>.</w:t>
      </w:r>
    </w:p>
    <w:p w14:paraId="209851A6" w14:textId="77777777" w:rsidR="00657378" w:rsidRPr="006A7A69" w:rsidRDefault="00657378" w:rsidP="00657378">
      <w:pPr>
        <w:spacing w:after="390" w:line="240" w:lineRule="auto"/>
        <w:rPr>
          <w:rFonts w:ascii="Arial" w:hAnsi="Arial"/>
          <w:sz w:val="24"/>
          <w:szCs w:val="24"/>
        </w:rPr>
      </w:pPr>
      <w:r w:rsidRPr="006A7A69">
        <w:rPr>
          <w:rFonts w:ascii="Arial" w:hAnsi="Arial"/>
          <w:sz w:val="24"/>
          <w:szCs w:val="24"/>
        </w:rPr>
        <w:t>Likewise, the future long-term rental income and sales of a steady-state affordable housing programme could be securitised to provide collaterised backing for its public funding.</w:t>
      </w:r>
    </w:p>
    <w:p w14:paraId="0E811337" w14:textId="77777777" w:rsidR="00657378" w:rsidRPr="006A7A69" w:rsidRDefault="00657378" w:rsidP="00657378">
      <w:pPr>
        <w:spacing w:after="390" w:line="240" w:lineRule="auto"/>
        <w:rPr>
          <w:rFonts w:ascii="Arial" w:hAnsi="Arial"/>
          <w:sz w:val="24"/>
          <w:szCs w:val="24"/>
        </w:rPr>
      </w:pPr>
      <w:r w:rsidRPr="006A7A69">
        <w:rPr>
          <w:rFonts w:ascii="Arial" w:hAnsi="Arial"/>
          <w:sz w:val="24"/>
          <w:szCs w:val="24"/>
        </w:rPr>
        <w:t>Land value capture linked to the extension of compulsory powers to acquire at existing use value and a maximum set premium would serve to reduce the land value component of new housing provision</w:t>
      </w:r>
      <w:r>
        <w:rPr>
          <w:rFonts w:ascii="Arial" w:hAnsi="Arial"/>
          <w:sz w:val="24"/>
          <w:szCs w:val="24"/>
        </w:rPr>
        <w:t>: a cost</w:t>
      </w:r>
      <w:r w:rsidRPr="006A7A69">
        <w:rPr>
          <w:rFonts w:ascii="Arial" w:hAnsi="Arial"/>
          <w:sz w:val="24"/>
          <w:szCs w:val="24"/>
        </w:rPr>
        <w:t xml:space="preserve"> that has</w:t>
      </w:r>
      <w:r>
        <w:rPr>
          <w:rFonts w:ascii="Arial" w:hAnsi="Arial"/>
          <w:sz w:val="24"/>
          <w:szCs w:val="24"/>
        </w:rPr>
        <w:t xml:space="preserve"> </w:t>
      </w:r>
      <w:r w:rsidRPr="006A7A69">
        <w:rPr>
          <w:rFonts w:ascii="Arial" w:hAnsi="Arial"/>
          <w:sz w:val="24"/>
          <w:szCs w:val="24"/>
        </w:rPr>
        <w:t xml:space="preserve">magnified since the mid-fifties. </w:t>
      </w:r>
    </w:p>
    <w:p w14:paraId="08CAEA85" w14:textId="4361FF7B" w:rsidR="00657378" w:rsidRDefault="00657378" w:rsidP="00657378">
      <w:pPr>
        <w:spacing w:after="390" w:line="240" w:lineRule="auto"/>
        <w:rPr>
          <w:rFonts w:ascii="Arial" w:hAnsi="Arial"/>
          <w:sz w:val="24"/>
          <w:szCs w:val="24"/>
        </w:rPr>
      </w:pPr>
      <w:r>
        <w:rPr>
          <w:rFonts w:ascii="Arial" w:hAnsi="Arial"/>
          <w:sz w:val="24"/>
          <w:szCs w:val="24"/>
        </w:rPr>
        <w:t>Similar s</w:t>
      </w:r>
      <w:r w:rsidRPr="006A7A69">
        <w:rPr>
          <w:rFonts w:ascii="Arial" w:hAnsi="Arial"/>
          <w:sz w:val="24"/>
          <w:szCs w:val="24"/>
        </w:rPr>
        <w:t>ectoral strategies should be developed</w:t>
      </w:r>
      <w:r>
        <w:rPr>
          <w:rFonts w:ascii="Arial" w:hAnsi="Arial"/>
          <w:sz w:val="24"/>
          <w:szCs w:val="24"/>
        </w:rPr>
        <w:t xml:space="preserve">, such as </w:t>
      </w:r>
      <w:r w:rsidRPr="006A7A69">
        <w:rPr>
          <w:rFonts w:ascii="Arial" w:hAnsi="Arial"/>
          <w:sz w:val="24"/>
          <w:szCs w:val="24"/>
        </w:rPr>
        <w:t xml:space="preserve">for life-long education, health, </w:t>
      </w:r>
      <w:r>
        <w:rPr>
          <w:rFonts w:ascii="Arial" w:hAnsi="Arial"/>
          <w:sz w:val="24"/>
          <w:szCs w:val="24"/>
        </w:rPr>
        <w:t xml:space="preserve">and medical research, </w:t>
      </w:r>
      <w:r w:rsidR="00385586">
        <w:rPr>
          <w:rFonts w:ascii="Arial" w:hAnsi="Arial"/>
          <w:sz w:val="24"/>
          <w:szCs w:val="24"/>
        </w:rPr>
        <w:t xml:space="preserve">and </w:t>
      </w:r>
      <w:r>
        <w:rPr>
          <w:rFonts w:ascii="Arial" w:hAnsi="Arial"/>
          <w:sz w:val="24"/>
          <w:szCs w:val="24"/>
        </w:rPr>
        <w:t>other sectors and</w:t>
      </w:r>
      <w:r w:rsidR="00385586">
        <w:rPr>
          <w:rFonts w:ascii="Arial" w:hAnsi="Arial"/>
          <w:sz w:val="24"/>
          <w:szCs w:val="24"/>
        </w:rPr>
        <w:t xml:space="preserve"> be </w:t>
      </w:r>
      <w:r>
        <w:rPr>
          <w:rFonts w:ascii="Arial" w:hAnsi="Arial"/>
          <w:sz w:val="24"/>
          <w:szCs w:val="24"/>
        </w:rPr>
        <w:t xml:space="preserve">incorporated with the DIP process in accordance with </w:t>
      </w:r>
      <w:r w:rsidRPr="00560572">
        <w:rPr>
          <w:rFonts w:ascii="Arial" w:hAnsi="Arial"/>
          <w:i/>
          <w:iCs/>
          <w:sz w:val="24"/>
          <w:szCs w:val="24"/>
        </w:rPr>
        <w:t>recommendations 6 and 7</w:t>
      </w:r>
      <w:r>
        <w:rPr>
          <w:rFonts w:ascii="Arial" w:hAnsi="Arial"/>
          <w:sz w:val="24"/>
          <w:szCs w:val="24"/>
        </w:rPr>
        <w:t>.</w:t>
      </w:r>
    </w:p>
    <w:p w14:paraId="3FC3E56D" w14:textId="6AF9B56F" w:rsidR="004B6F44" w:rsidRPr="003859C0" w:rsidRDefault="00054B93">
      <w:pPr>
        <w:rPr>
          <w:rFonts w:ascii="Arial" w:hAnsi="Arial"/>
          <w:sz w:val="24"/>
        </w:rPr>
      </w:pPr>
      <w:r>
        <w:rPr>
          <w:rFonts w:ascii="Arial" w:eastAsia="Times New Roman" w:hAnsi="Arial" w:cs="Times New Roman"/>
          <w:color w:val="666666"/>
          <w:sz w:val="24"/>
          <w:szCs w:val="24"/>
        </w:rPr>
        <w:br w:type="page"/>
      </w:r>
    </w:p>
    <w:sectPr w:rsidR="004B6F44" w:rsidRPr="003859C0" w:rsidSect="00603210">
      <w:footerReference w:type="defaul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3406" w14:textId="77777777" w:rsidR="00425D26" w:rsidRDefault="00425D26" w:rsidP="0070198A">
      <w:pPr>
        <w:spacing w:after="0" w:line="240" w:lineRule="auto"/>
      </w:pPr>
      <w:r>
        <w:separator/>
      </w:r>
    </w:p>
  </w:endnote>
  <w:endnote w:type="continuationSeparator" w:id="0">
    <w:p w14:paraId="1156A7F7" w14:textId="77777777" w:rsidR="00425D26" w:rsidRDefault="00425D26" w:rsidP="0070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76404"/>
      <w:docPartObj>
        <w:docPartGallery w:val="Page Numbers (Bottom of Page)"/>
        <w:docPartUnique/>
      </w:docPartObj>
    </w:sdtPr>
    <w:sdtEndPr>
      <w:rPr>
        <w:noProof/>
      </w:rPr>
    </w:sdtEndPr>
    <w:sdtContent>
      <w:p w14:paraId="4591A0D7" w14:textId="2DEBBE52" w:rsidR="0070198A" w:rsidRDefault="00701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4142A" w14:textId="77777777" w:rsidR="0070198A" w:rsidRDefault="0070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8637" w14:textId="77777777" w:rsidR="00425D26" w:rsidRDefault="00425D26" w:rsidP="0070198A">
      <w:pPr>
        <w:spacing w:after="0" w:line="240" w:lineRule="auto"/>
      </w:pPr>
      <w:r>
        <w:separator/>
      </w:r>
    </w:p>
  </w:footnote>
  <w:footnote w:type="continuationSeparator" w:id="0">
    <w:p w14:paraId="2B8CA827" w14:textId="77777777" w:rsidR="00425D26" w:rsidRDefault="00425D26" w:rsidP="0070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147"/>
    <w:multiLevelType w:val="hybridMultilevel"/>
    <w:tmpl w:val="7842D8C2"/>
    <w:lvl w:ilvl="0" w:tplc="17160486">
      <w:start w:val="1"/>
      <w:numFmt w:val="bullet"/>
      <w:lvlText w:val=""/>
      <w:lvlJc w:val="left"/>
      <w:pPr>
        <w:ind w:left="720" w:hanging="360"/>
      </w:pPr>
      <w:rPr>
        <w:rFonts w:ascii="Symbol" w:hAnsi="Symbol" w:hint="default"/>
      </w:rPr>
    </w:lvl>
    <w:lvl w:ilvl="1" w:tplc="F1002D54">
      <w:start w:val="1"/>
      <w:numFmt w:val="bullet"/>
      <w:lvlText w:val="o"/>
      <w:lvlJc w:val="left"/>
      <w:pPr>
        <w:ind w:left="1440" w:hanging="360"/>
      </w:pPr>
      <w:rPr>
        <w:rFonts w:ascii="Courier New" w:hAnsi="Courier New" w:hint="default"/>
      </w:rPr>
    </w:lvl>
    <w:lvl w:ilvl="2" w:tplc="7DDCEC1E">
      <w:start w:val="1"/>
      <w:numFmt w:val="bullet"/>
      <w:lvlText w:val=""/>
      <w:lvlJc w:val="left"/>
      <w:pPr>
        <w:ind w:left="2160" w:hanging="360"/>
      </w:pPr>
      <w:rPr>
        <w:rFonts w:ascii="Wingdings" w:hAnsi="Wingdings" w:hint="default"/>
      </w:rPr>
    </w:lvl>
    <w:lvl w:ilvl="3" w:tplc="EA52CC1E">
      <w:start w:val="1"/>
      <w:numFmt w:val="bullet"/>
      <w:lvlText w:val=""/>
      <w:lvlJc w:val="left"/>
      <w:pPr>
        <w:ind w:left="2880" w:hanging="360"/>
      </w:pPr>
      <w:rPr>
        <w:rFonts w:ascii="Symbol" w:hAnsi="Symbol" w:hint="default"/>
      </w:rPr>
    </w:lvl>
    <w:lvl w:ilvl="4" w:tplc="5456FB7A">
      <w:start w:val="1"/>
      <w:numFmt w:val="bullet"/>
      <w:lvlText w:val="o"/>
      <w:lvlJc w:val="left"/>
      <w:pPr>
        <w:ind w:left="3600" w:hanging="360"/>
      </w:pPr>
      <w:rPr>
        <w:rFonts w:ascii="Courier New" w:hAnsi="Courier New" w:hint="default"/>
      </w:rPr>
    </w:lvl>
    <w:lvl w:ilvl="5" w:tplc="2368C17C">
      <w:start w:val="1"/>
      <w:numFmt w:val="bullet"/>
      <w:lvlText w:val=""/>
      <w:lvlJc w:val="left"/>
      <w:pPr>
        <w:ind w:left="4320" w:hanging="360"/>
      </w:pPr>
      <w:rPr>
        <w:rFonts w:ascii="Wingdings" w:hAnsi="Wingdings" w:hint="default"/>
      </w:rPr>
    </w:lvl>
    <w:lvl w:ilvl="6" w:tplc="6C5EE738">
      <w:start w:val="1"/>
      <w:numFmt w:val="bullet"/>
      <w:lvlText w:val=""/>
      <w:lvlJc w:val="left"/>
      <w:pPr>
        <w:ind w:left="5040" w:hanging="360"/>
      </w:pPr>
      <w:rPr>
        <w:rFonts w:ascii="Symbol" w:hAnsi="Symbol" w:hint="default"/>
      </w:rPr>
    </w:lvl>
    <w:lvl w:ilvl="7" w:tplc="ED84A2E0">
      <w:start w:val="1"/>
      <w:numFmt w:val="bullet"/>
      <w:lvlText w:val="o"/>
      <w:lvlJc w:val="left"/>
      <w:pPr>
        <w:ind w:left="5760" w:hanging="360"/>
      </w:pPr>
      <w:rPr>
        <w:rFonts w:ascii="Courier New" w:hAnsi="Courier New" w:hint="default"/>
      </w:rPr>
    </w:lvl>
    <w:lvl w:ilvl="8" w:tplc="E35CE90A">
      <w:start w:val="1"/>
      <w:numFmt w:val="bullet"/>
      <w:lvlText w:val=""/>
      <w:lvlJc w:val="left"/>
      <w:pPr>
        <w:ind w:left="6480" w:hanging="360"/>
      </w:pPr>
      <w:rPr>
        <w:rFonts w:ascii="Wingdings" w:hAnsi="Wingdings" w:hint="default"/>
      </w:rPr>
    </w:lvl>
  </w:abstractNum>
  <w:abstractNum w:abstractNumId="1" w15:restartNumberingAfterBreak="0">
    <w:nsid w:val="08B11D11"/>
    <w:multiLevelType w:val="hybridMultilevel"/>
    <w:tmpl w:val="B9AEE8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662FC0"/>
    <w:multiLevelType w:val="hybridMultilevel"/>
    <w:tmpl w:val="EC1A2738"/>
    <w:lvl w:ilvl="0" w:tplc="6FDA8454">
      <w:start w:val="1"/>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3939"/>
    <w:multiLevelType w:val="hybridMultilevel"/>
    <w:tmpl w:val="E1A40542"/>
    <w:lvl w:ilvl="0" w:tplc="76EE1FE4">
      <w:start w:val="1"/>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1B21"/>
    <w:multiLevelType w:val="hybridMultilevel"/>
    <w:tmpl w:val="055AC3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784B27"/>
    <w:multiLevelType w:val="hybridMultilevel"/>
    <w:tmpl w:val="B66CBD76"/>
    <w:lvl w:ilvl="0" w:tplc="D7A45206">
      <w:start w:val="1"/>
      <w:numFmt w:val="bullet"/>
      <w:lvlText w:val=""/>
      <w:lvlJc w:val="left"/>
      <w:pPr>
        <w:ind w:left="720" w:hanging="360"/>
      </w:pPr>
      <w:rPr>
        <w:rFonts w:ascii="Symbol" w:hAnsi="Symbol" w:hint="default"/>
      </w:rPr>
    </w:lvl>
    <w:lvl w:ilvl="1" w:tplc="34528698">
      <w:start w:val="1"/>
      <w:numFmt w:val="lowerLetter"/>
      <w:lvlText w:val="%2."/>
      <w:lvlJc w:val="left"/>
      <w:pPr>
        <w:ind w:left="1440" w:hanging="360"/>
      </w:pPr>
    </w:lvl>
    <w:lvl w:ilvl="2" w:tplc="1408D436">
      <w:start w:val="1"/>
      <w:numFmt w:val="lowerRoman"/>
      <w:lvlText w:val="%3."/>
      <w:lvlJc w:val="right"/>
      <w:pPr>
        <w:ind w:left="2160" w:hanging="180"/>
      </w:pPr>
    </w:lvl>
    <w:lvl w:ilvl="3" w:tplc="C228F4BE">
      <w:start w:val="1"/>
      <w:numFmt w:val="decimal"/>
      <w:lvlText w:val="%4."/>
      <w:lvlJc w:val="left"/>
      <w:pPr>
        <w:ind w:left="2880" w:hanging="360"/>
      </w:pPr>
    </w:lvl>
    <w:lvl w:ilvl="4" w:tplc="C70A7782">
      <w:start w:val="1"/>
      <w:numFmt w:val="lowerLetter"/>
      <w:lvlText w:val="%5."/>
      <w:lvlJc w:val="left"/>
      <w:pPr>
        <w:ind w:left="3600" w:hanging="360"/>
      </w:pPr>
    </w:lvl>
    <w:lvl w:ilvl="5" w:tplc="409E5620">
      <w:start w:val="1"/>
      <w:numFmt w:val="lowerRoman"/>
      <w:lvlText w:val="%6."/>
      <w:lvlJc w:val="right"/>
      <w:pPr>
        <w:ind w:left="4320" w:hanging="180"/>
      </w:pPr>
    </w:lvl>
    <w:lvl w:ilvl="6" w:tplc="6CA45E1E">
      <w:start w:val="1"/>
      <w:numFmt w:val="decimal"/>
      <w:lvlText w:val="%7."/>
      <w:lvlJc w:val="left"/>
      <w:pPr>
        <w:ind w:left="5040" w:hanging="360"/>
      </w:pPr>
    </w:lvl>
    <w:lvl w:ilvl="7" w:tplc="017653AA">
      <w:start w:val="1"/>
      <w:numFmt w:val="lowerLetter"/>
      <w:lvlText w:val="%8."/>
      <w:lvlJc w:val="left"/>
      <w:pPr>
        <w:ind w:left="5760" w:hanging="360"/>
      </w:pPr>
    </w:lvl>
    <w:lvl w:ilvl="8" w:tplc="FE5839A0">
      <w:start w:val="1"/>
      <w:numFmt w:val="lowerRoman"/>
      <w:lvlText w:val="%9."/>
      <w:lvlJc w:val="right"/>
      <w:pPr>
        <w:ind w:left="6480" w:hanging="180"/>
      </w:pPr>
    </w:lvl>
  </w:abstractNum>
  <w:abstractNum w:abstractNumId="6" w15:restartNumberingAfterBreak="0">
    <w:nsid w:val="1EDF0B25"/>
    <w:multiLevelType w:val="hybridMultilevel"/>
    <w:tmpl w:val="65EE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47C7"/>
    <w:multiLevelType w:val="hybridMultilevel"/>
    <w:tmpl w:val="A00A4A9E"/>
    <w:lvl w:ilvl="0" w:tplc="F3988DF6">
      <w:start w:val="1"/>
      <w:numFmt w:val="decimal"/>
      <w:lvlText w:val="%1."/>
      <w:lvlJc w:val="left"/>
      <w:pPr>
        <w:ind w:left="720" w:hanging="360"/>
      </w:pPr>
    </w:lvl>
    <w:lvl w:ilvl="1" w:tplc="A934B62A">
      <w:start w:val="1"/>
      <w:numFmt w:val="lowerLetter"/>
      <w:lvlText w:val="%2."/>
      <w:lvlJc w:val="left"/>
      <w:pPr>
        <w:ind w:left="1440" w:hanging="360"/>
      </w:pPr>
    </w:lvl>
    <w:lvl w:ilvl="2" w:tplc="120A78D0">
      <w:start w:val="1"/>
      <w:numFmt w:val="lowerRoman"/>
      <w:lvlText w:val="%3."/>
      <w:lvlJc w:val="right"/>
      <w:pPr>
        <w:ind w:left="2160" w:hanging="180"/>
      </w:pPr>
    </w:lvl>
    <w:lvl w:ilvl="3" w:tplc="6868C3D0">
      <w:start w:val="1"/>
      <w:numFmt w:val="decimal"/>
      <w:lvlText w:val="%4."/>
      <w:lvlJc w:val="left"/>
      <w:pPr>
        <w:ind w:left="2880" w:hanging="360"/>
      </w:pPr>
    </w:lvl>
    <w:lvl w:ilvl="4" w:tplc="9C78181C">
      <w:start w:val="1"/>
      <w:numFmt w:val="lowerLetter"/>
      <w:lvlText w:val="%5."/>
      <w:lvlJc w:val="left"/>
      <w:pPr>
        <w:ind w:left="3600" w:hanging="360"/>
      </w:pPr>
    </w:lvl>
    <w:lvl w:ilvl="5" w:tplc="304678C0">
      <w:start w:val="1"/>
      <w:numFmt w:val="lowerRoman"/>
      <w:lvlText w:val="%6."/>
      <w:lvlJc w:val="right"/>
      <w:pPr>
        <w:ind w:left="4320" w:hanging="180"/>
      </w:pPr>
    </w:lvl>
    <w:lvl w:ilvl="6" w:tplc="E8CC7D24">
      <w:start w:val="1"/>
      <w:numFmt w:val="decimal"/>
      <w:lvlText w:val="%7."/>
      <w:lvlJc w:val="left"/>
      <w:pPr>
        <w:ind w:left="5040" w:hanging="360"/>
      </w:pPr>
    </w:lvl>
    <w:lvl w:ilvl="7" w:tplc="70C00B3C">
      <w:start w:val="1"/>
      <w:numFmt w:val="lowerLetter"/>
      <w:lvlText w:val="%8."/>
      <w:lvlJc w:val="left"/>
      <w:pPr>
        <w:ind w:left="5760" w:hanging="360"/>
      </w:pPr>
    </w:lvl>
    <w:lvl w:ilvl="8" w:tplc="710E8F08">
      <w:start w:val="1"/>
      <w:numFmt w:val="lowerRoman"/>
      <w:lvlText w:val="%9."/>
      <w:lvlJc w:val="right"/>
      <w:pPr>
        <w:ind w:left="6480" w:hanging="180"/>
      </w:pPr>
    </w:lvl>
  </w:abstractNum>
  <w:abstractNum w:abstractNumId="8" w15:restartNumberingAfterBreak="0">
    <w:nsid w:val="26B223BF"/>
    <w:multiLevelType w:val="hybridMultilevel"/>
    <w:tmpl w:val="AAACFD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C6CA1"/>
    <w:multiLevelType w:val="hybridMultilevel"/>
    <w:tmpl w:val="C4EA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C31D8"/>
    <w:multiLevelType w:val="hybridMultilevel"/>
    <w:tmpl w:val="E9D0606A"/>
    <w:lvl w:ilvl="0" w:tplc="D88A9E6A">
      <w:start w:val="2"/>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429AC"/>
    <w:multiLevelType w:val="hybridMultilevel"/>
    <w:tmpl w:val="A88EC05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4C053393"/>
    <w:multiLevelType w:val="hybridMultilevel"/>
    <w:tmpl w:val="02F011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235CA"/>
    <w:multiLevelType w:val="hybridMultilevel"/>
    <w:tmpl w:val="6632E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67E59CF"/>
    <w:multiLevelType w:val="hybridMultilevel"/>
    <w:tmpl w:val="4770FD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8462259"/>
    <w:multiLevelType w:val="hybridMultilevel"/>
    <w:tmpl w:val="CE7C0ABC"/>
    <w:lvl w:ilvl="0" w:tplc="42D8D22E">
      <w:start w:val="1"/>
      <w:numFmt w:val="decimal"/>
      <w:lvlText w:val="%1."/>
      <w:lvlJc w:val="left"/>
      <w:pPr>
        <w:ind w:left="720" w:hanging="360"/>
      </w:pPr>
    </w:lvl>
    <w:lvl w:ilvl="1" w:tplc="CB52C876">
      <w:start w:val="1"/>
      <w:numFmt w:val="lowerLetter"/>
      <w:lvlText w:val="%2."/>
      <w:lvlJc w:val="left"/>
      <w:pPr>
        <w:ind w:left="1440" w:hanging="360"/>
      </w:pPr>
    </w:lvl>
    <w:lvl w:ilvl="2" w:tplc="085E7080">
      <w:start w:val="1"/>
      <w:numFmt w:val="lowerRoman"/>
      <w:lvlText w:val="%3."/>
      <w:lvlJc w:val="right"/>
      <w:pPr>
        <w:ind w:left="2160" w:hanging="180"/>
      </w:pPr>
    </w:lvl>
    <w:lvl w:ilvl="3" w:tplc="50EE473C">
      <w:start w:val="1"/>
      <w:numFmt w:val="decimal"/>
      <w:lvlText w:val="%4."/>
      <w:lvlJc w:val="left"/>
      <w:pPr>
        <w:ind w:left="2880" w:hanging="360"/>
      </w:pPr>
    </w:lvl>
    <w:lvl w:ilvl="4" w:tplc="441E84E6">
      <w:start w:val="1"/>
      <w:numFmt w:val="lowerLetter"/>
      <w:lvlText w:val="%5."/>
      <w:lvlJc w:val="left"/>
      <w:pPr>
        <w:ind w:left="3600" w:hanging="360"/>
      </w:pPr>
    </w:lvl>
    <w:lvl w:ilvl="5" w:tplc="DE6422A2">
      <w:start w:val="1"/>
      <w:numFmt w:val="lowerRoman"/>
      <w:lvlText w:val="%6."/>
      <w:lvlJc w:val="right"/>
      <w:pPr>
        <w:ind w:left="4320" w:hanging="180"/>
      </w:pPr>
    </w:lvl>
    <w:lvl w:ilvl="6" w:tplc="1E60A58E">
      <w:start w:val="1"/>
      <w:numFmt w:val="decimal"/>
      <w:lvlText w:val="%7."/>
      <w:lvlJc w:val="left"/>
      <w:pPr>
        <w:ind w:left="5040" w:hanging="360"/>
      </w:pPr>
    </w:lvl>
    <w:lvl w:ilvl="7" w:tplc="CA6AFDC0">
      <w:start w:val="1"/>
      <w:numFmt w:val="lowerLetter"/>
      <w:lvlText w:val="%8."/>
      <w:lvlJc w:val="left"/>
      <w:pPr>
        <w:ind w:left="5760" w:hanging="360"/>
      </w:pPr>
    </w:lvl>
    <w:lvl w:ilvl="8" w:tplc="31B40BF6">
      <w:start w:val="1"/>
      <w:numFmt w:val="lowerRoman"/>
      <w:lvlText w:val="%9."/>
      <w:lvlJc w:val="right"/>
      <w:pPr>
        <w:ind w:left="6480" w:hanging="180"/>
      </w:pPr>
    </w:lvl>
  </w:abstractNum>
  <w:abstractNum w:abstractNumId="16" w15:restartNumberingAfterBreak="0">
    <w:nsid w:val="6F4503CB"/>
    <w:multiLevelType w:val="hybridMultilevel"/>
    <w:tmpl w:val="8A520194"/>
    <w:lvl w:ilvl="0" w:tplc="C8F4E6D0">
      <w:start w:val="1"/>
      <w:numFmt w:val="decimal"/>
      <w:lvlText w:val="%1."/>
      <w:lvlJc w:val="left"/>
      <w:pPr>
        <w:ind w:left="720" w:hanging="360"/>
      </w:pPr>
    </w:lvl>
    <w:lvl w:ilvl="1" w:tplc="766C7770">
      <w:start w:val="1"/>
      <w:numFmt w:val="lowerLetter"/>
      <w:lvlText w:val="%2."/>
      <w:lvlJc w:val="left"/>
      <w:pPr>
        <w:ind w:left="1440" w:hanging="360"/>
      </w:pPr>
    </w:lvl>
    <w:lvl w:ilvl="2" w:tplc="698C9924">
      <w:start w:val="1"/>
      <w:numFmt w:val="lowerRoman"/>
      <w:lvlText w:val="%3."/>
      <w:lvlJc w:val="right"/>
      <w:pPr>
        <w:ind w:left="2160" w:hanging="180"/>
      </w:pPr>
    </w:lvl>
    <w:lvl w:ilvl="3" w:tplc="67328256">
      <w:start w:val="1"/>
      <w:numFmt w:val="decimal"/>
      <w:lvlText w:val="%4."/>
      <w:lvlJc w:val="left"/>
      <w:pPr>
        <w:ind w:left="2880" w:hanging="360"/>
      </w:pPr>
    </w:lvl>
    <w:lvl w:ilvl="4" w:tplc="B714252C">
      <w:start w:val="1"/>
      <w:numFmt w:val="lowerLetter"/>
      <w:lvlText w:val="%5."/>
      <w:lvlJc w:val="left"/>
      <w:pPr>
        <w:ind w:left="3600" w:hanging="360"/>
      </w:pPr>
    </w:lvl>
    <w:lvl w:ilvl="5" w:tplc="8FF2A1C8">
      <w:start w:val="1"/>
      <w:numFmt w:val="lowerRoman"/>
      <w:lvlText w:val="%6."/>
      <w:lvlJc w:val="right"/>
      <w:pPr>
        <w:ind w:left="4320" w:hanging="180"/>
      </w:pPr>
    </w:lvl>
    <w:lvl w:ilvl="6" w:tplc="0B9A4F86">
      <w:start w:val="1"/>
      <w:numFmt w:val="decimal"/>
      <w:lvlText w:val="%7."/>
      <w:lvlJc w:val="left"/>
      <w:pPr>
        <w:ind w:left="5040" w:hanging="360"/>
      </w:pPr>
    </w:lvl>
    <w:lvl w:ilvl="7" w:tplc="2A66E834">
      <w:start w:val="1"/>
      <w:numFmt w:val="lowerLetter"/>
      <w:lvlText w:val="%8."/>
      <w:lvlJc w:val="left"/>
      <w:pPr>
        <w:ind w:left="5760" w:hanging="360"/>
      </w:pPr>
    </w:lvl>
    <w:lvl w:ilvl="8" w:tplc="91E209F8">
      <w:start w:val="1"/>
      <w:numFmt w:val="lowerRoman"/>
      <w:lvlText w:val="%9."/>
      <w:lvlJc w:val="right"/>
      <w:pPr>
        <w:ind w:left="6480" w:hanging="180"/>
      </w:pPr>
    </w:lvl>
  </w:abstractNum>
  <w:abstractNum w:abstractNumId="17" w15:restartNumberingAfterBreak="0">
    <w:nsid w:val="6F457003"/>
    <w:multiLevelType w:val="hybridMultilevel"/>
    <w:tmpl w:val="0EB45224"/>
    <w:lvl w:ilvl="0" w:tplc="C5C49F8A">
      <w:start w:val="2"/>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532F9"/>
    <w:multiLevelType w:val="hybridMultilevel"/>
    <w:tmpl w:val="64300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5"/>
  </w:num>
  <w:num w:numId="5">
    <w:abstractNumId w:val="7"/>
  </w:num>
  <w:num w:numId="6">
    <w:abstractNumId w:val="18"/>
  </w:num>
  <w:num w:numId="7">
    <w:abstractNumId w:val="11"/>
  </w:num>
  <w:num w:numId="8">
    <w:abstractNumId w:val="4"/>
  </w:num>
  <w:num w:numId="9">
    <w:abstractNumId w:val="13"/>
  </w:num>
  <w:num w:numId="10">
    <w:abstractNumId w:val="6"/>
  </w:num>
  <w:num w:numId="11">
    <w:abstractNumId w:val="9"/>
  </w:num>
  <w:num w:numId="12">
    <w:abstractNumId w:val="1"/>
  </w:num>
  <w:num w:numId="13">
    <w:abstractNumId w:val="2"/>
  </w:num>
  <w:num w:numId="14">
    <w:abstractNumId w:val="17"/>
  </w:num>
  <w:num w:numId="15">
    <w:abstractNumId w:val="10"/>
  </w:num>
  <w:num w:numId="16">
    <w:abstractNumId w:val="8"/>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5C"/>
    <w:rsid w:val="00000042"/>
    <w:rsid w:val="000019FF"/>
    <w:rsid w:val="00001DBC"/>
    <w:rsid w:val="00002C7B"/>
    <w:rsid w:val="00007233"/>
    <w:rsid w:val="0000790E"/>
    <w:rsid w:val="00007FF3"/>
    <w:rsid w:val="00010552"/>
    <w:rsid w:val="00011E9E"/>
    <w:rsid w:val="00012363"/>
    <w:rsid w:val="00012C83"/>
    <w:rsid w:val="00013084"/>
    <w:rsid w:val="00013E38"/>
    <w:rsid w:val="000145D7"/>
    <w:rsid w:val="00014EC6"/>
    <w:rsid w:val="000161B3"/>
    <w:rsid w:val="00016471"/>
    <w:rsid w:val="00016D48"/>
    <w:rsid w:val="000171EA"/>
    <w:rsid w:val="00030AC2"/>
    <w:rsid w:val="000318CA"/>
    <w:rsid w:val="00031B6E"/>
    <w:rsid w:val="00034E37"/>
    <w:rsid w:val="00035036"/>
    <w:rsid w:val="000359BB"/>
    <w:rsid w:val="000370BF"/>
    <w:rsid w:val="00037F99"/>
    <w:rsid w:val="0004154F"/>
    <w:rsid w:val="00043011"/>
    <w:rsid w:val="0004352F"/>
    <w:rsid w:val="0004361E"/>
    <w:rsid w:val="00046418"/>
    <w:rsid w:val="0004747F"/>
    <w:rsid w:val="000500E3"/>
    <w:rsid w:val="00051349"/>
    <w:rsid w:val="0005158B"/>
    <w:rsid w:val="00051BEA"/>
    <w:rsid w:val="00052131"/>
    <w:rsid w:val="0005242B"/>
    <w:rsid w:val="000526A0"/>
    <w:rsid w:val="000526A5"/>
    <w:rsid w:val="000527A7"/>
    <w:rsid w:val="00053DC0"/>
    <w:rsid w:val="000543C0"/>
    <w:rsid w:val="0005443A"/>
    <w:rsid w:val="000547AB"/>
    <w:rsid w:val="00054B93"/>
    <w:rsid w:val="0005758D"/>
    <w:rsid w:val="0006136E"/>
    <w:rsid w:val="000633C7"/>
    <w:rsid w:val="00063CC5"/>
    <w:rsid w:val="00065274"/>
    <w:rsid w:val="0006558A"/>
    <w:rsid w:val="0006666B"/>
    <w:rsid w:val="00070CAF"/>
    <w:rsid w:val="00072B6C"/>
    <w:rsid w:val="00072F6F"/>
    <w:rsid w:val="000732A6"/>
    <w:rsid w:val="000735B7"/>
    <w:rsid w:val="000746BF"/>
    <w:rsid w:val="000776D8"/>
    <w:rsid w:val="00080F24"/>
    <w:rsid w:val="00081C5C"/>
    <w:rsid w:val="0008225C"/>
    <w:rsid w:val="0008280D"/>
    <w:rsid w:val="000829B7"/>
    <w:rsid w:val="0008380D"/>
    <w:rsid w:val="00083C6A"/>
    <w:rsid w:val="000849EB"/>
    <w:rsid w:val="00084C8B"/>
    <w:rsid w:val="0008725C"/>
    <w:rsid w:val="000876C2"/>
    <w:rsid w:val="00087E77"/>
    <w:rsid w:val="00090424"/>
    <w:rsid w:val="000905F2"/>
    <w:rsid w:val="00091DA9"/>
    <w:rsid w:val="00092D4B"/>
    <w:rsid w:val="00093490"/>
    <w:rsid w:val="000946A3"/>
    <w:rsid w:val="00094B08"/>
    <w:rsid w:val="0009528E"/>
    <w:rsid w:val="000958B9"/>
    <w:rsid w:val="00095D5C"/>
    <w:rsid w:val="000968E7"/>
    <w:rsid w:val="00096C82"/>
    <w:rsid w:val="00097956"/>
    <w:rsid w:val="00097E06"/>
    <w:rsid w:val="000A068A"/>
    <w:rsid w:val="000A2EAF"/>
    <w:rsid w:val="000A5884"/>
    <w:rsid w:val="000A6FD5"/>
    <w:rsid w:val="000B0A42"/>
    <w:rsid w:val="000B20FA"/>
    <w:rsid w:val="000B3222"/>
    <w:rsid w:val="000B3309"/>
    <w:rsid w:val="000B43D8"/>
    <w:rsid w:val="000B576C"/>
    <w:rsid w:val="000B5BE1"/>
    <w:rsid w:val="000B668F"/>
    <w:rsid w:val="000B6A35"/>
    <w:rsid w:val="000B6BE3"/>
    <w:rsid w:val="000B6CF9"/>
    <w:rsid w:val="000B7191"/>
    <w:rsid w:val="000B7ED2"/>
    <w:rsid w:val="000C06E2"/>
    <w:rsid w:val="000C0E37"/>
    <w:rsid w:val="000C163C"/>
    <w:rsid w:val="000C3456"/>
    <w:rsid w:val="000C434D"/>
    <w:rsid w:val="000C5DEA"/>
    <w:rsid w:val="000C629A"/>
    <w:rsid w:val="000C6669"/>
    <w:rsid w:val="000C687C"/>
    <w:rsid w:val="000C6E35"/>
    <w:rsid w:val="000C7972"/>
    <w:rsid w:val="000D025D"/>
    <w:rsid w:val="000D0411"/>
    <w:rsid w:val="000D08DE"/>
    <w:rsid w:val="000D0A83"/>
    <w:rsid w:val="000D0C44"/>
    <w:rsid w:val="000D1782"/>
    <w:rsid w:val="000D38A7"/>
    <w:rsid w:val="000D3F3C"/>
    <w:rsid w:val="000D4A0E"/>
    <w:rsid w:val="000D4C8C"/>
    <w:rsid w:val="000D6177"/>
    <w:rsid w:val="000D7FC9"/>
    <w:rsid w:val="000E0902"/>
    <w:rsid w:val="000E172A"/>
    <w:rsid w:val="000E1D93"/>
    <w:rsid w:val="000E2D4A"/>
    <w:rsid w:val="000E67E9"/>
    <w:rsid w:val="000E6E09"/>
    <w:rsid w:val="000E732F"/>
    <w:rsid w:val="000E7AAD"/>
    <w:rsid w:val="000F1995"/>
    <w:rsid w:val="000F1B01"/>
    <w:rsid w:val="000F2654"/>
    <w:rsid w:val="000F3E00"/>
    <w:rsid w:val="000F60E6"/>
    <w:rsid w:val="000F6ED2"/>
    <w:rsid w:val="000F71D1"/>
    <w:rsid w:val="00100C1A"/>
    <w:rsid w:val="00101363"/>
    <w:rsid w:val="00101C72"/>
    <w:rsid w:val="00103250"/>
    <w:rsid w:val="001042D4"/>
    <w:rsid w:val="001043BC"/>
    <w:rsid w:val="001058B0"/>
    <w:rsid w:val="00105D2F"/>
    <w:rsid w:val="00106B45"/>
    <w:rsid w:val="00107464"/>
    <w:rsid w:val="00107DAD"/>
    <w:rsid w:val="00110B16"/>
    <w:rsid w:val="001110DF"/>
    <w:rsid w:val="0011225E"/>
    <w:rsid w:val="00112585"/>
    <w:rsid w:val="0011325A"/>
    <w:rsid w:val="0011417D"/>
    <w:rsid w:val="0011493C"/>
    <w:rsid w:val="00114B3A"/>
    <w:rsid w:val="00117D11"/>
    <w:rsid w:val="001200E8"/>
    <w:rsid w:val="001206FC"/>
    <w:rsid w:val="001222AE"/>
    <w:rsid w:val="00122367"/>
    <w:rsid w:val="00122B05"/>
    <w:rsid w:val="001245D7"/>
    <w:rsid w:val="00124E10"/>
    <w:rsid w:val="001252FF"/>
    <w:rsid w:val="00126F68"/>
    <w:rsid w:val="00130523"/>
    <w:rsid w:val="0013186E"/>
    <w:rsid w:val="001327E2"/>
    <w:rsid w:val="00133F46"/>
    <w:rsid w:val="00134431"/>
    <w:rsid w:val="0013454D"/>
    <w:rsid w:val="00134C39"/>
    <w:rsid w:val="00134EEF"/>
    <w:rsid w:val="001355F4"/>
    <w:rsid w:val="001409F6"/>
    <w:rsid w:val="00140AC9"/>
    <w:rsid w:val="001421DB"/>
    <w:rsid w:val="00142B44"/>
    <w:rsid w:val="0014343C"/>
    <w:rsid w:val="0014359D"/>
    <w:rsid w:val="00146966"/>
    <w:rsid w:val="00151CA5"/>
    <w:rsid w:val="00151E4D"/>
    <w:rsid w:val="00154C7D"/>
    <w:rsid w:val="00154D7C"/>
    <w:rsid w:val="001556CD"/>
    <w:rsid w:val="00155A5C"/>
    <w:rsid w:val="00155E38"/>
    <w:rsid w:val="00156663"/>
    <w:rsid w:val="00156EF1"/>
    <w:rsid w:val="001577BD"/>
    <w:rsid w:val="00160090"/>
    <w:rsid w:val="001604E3"/>
    <w:rsid w:val="001613D8"/>
    <w:rsid w:val="0016227A"/>
    <w:rsid w:val="001628B7"/>
    <w:rsid w:val="001631C8"/>
    <w:rsid w:val="00163279"/>
    <w:rsid w:val="00164672"/>
    <w:rsid w:val="001667B4"/>
    <w:rsid w:val="0016723F"/>
    <w:rsid w:val="001679FD"/>
    <w:rsid w:val="00170809"/>
    <w:rsid w:val="0017364E"/>
    <w:rsid w:val="0017429C"/>
    <w:rsid w:val="0017470F"/>
    <w:rsid w:val="0017576E"/>
    <w:rsid w:val="00175D4F"/>
    <w:rsid w:val="00175DB1"/>
    <w:rsid w:val="0017631A"/>
    <w:rsid w:val="00176736"/>
    <w:rsid w:val="00180556"/>
    <w:rsid w:val="00180608"/>
    <w:rsid w:val="00182BB6"/>
    <w:rsid w:val="00185146"/>
    <w:rsid w:val="00185379"/>
    <w:rsid w:val="0018606A"/>
    <w:rsid w:val="001867E7"/>
    <w:rsid w:val="00186D8A"/>
    <w:rsid w:val="00186F1A"/>
    <w:rsid w:val="00187432"/>
    <w:rsid w:val="0019194A"/>
    <w:rsid w:val="00191CFD"/>
    <w:rsid w:val="00193127"/>
    <w:rsid w:val="001933D4"/>
    <w:rsid w:val="001944DA"/>
    <w:rsid w:val="0019463C"/>
    <w:rsid w:val="0019518E"/>
    <w:rsid w:val="00195518"/>
    <w:rsid w:val="00195649"/>
    <w:rsid w:val="001962A4"/>
    <w:rsid w:val="001969D7"/>
    <w:rsid w:val="00197722"/>
    <w:rsid w:val="00197A64"/>
    <w:rsid w:val="001A053F"/>
    <w:rsid w:val="001A0ABD"/>
    <w:rsid w:val="001A104F"/>
    <w:rsid w:val="001A1882"/>
    <w:rsid w:val="001A25BE"/>
    <w:rsid w:val="001A4CE5"/>
    <w:rsid w:val="001A54D4"/>
    <w:rsid w:val="001A54FB"/>
    <w:rsid w:val="001A63DE"/>
    <w:rsid w:val="001A6FEB"/>
    <w:rsid w:val="001A7CD1"/>
    <w:rsid w:val="001B057B"/>
    <w:rsid w:val="001B123D"/>
    <w:rsid w:val="001B196E"/>
    <w:rsid w:val="001B2CFF"/>
    <w:rsid w:val="001B4948"/>
    <w:rsid w:val="001B49AD"/>
    <w:rsid w:val="001B50F5"/>
    <w:rsid w:val="001B648D"/>
    <w:rsid w:val="001B77D2"/>
    <w:rsid w:val="001B7B9C"/>
    <w:rsid w:val="001B7ED2"/>
    <w:rsid w:val="001C0C08"/>
    <w:rsid w:val="001C0D70"/>
    <w:rsid w:val="001C219F"/>
    <w:rsid w:val="001C335D"/>
    <w:rsid w:val="001C4601"/>
    <w:rsid w:val="001C5FBD"/>
    <w:rsid w:val="001C6178"/>
    <w:rsid w:val="001C6F19"/>
    <w:rsid w:val="001C7C46"/>
    <w:rsid w:val="001D22CD"/>
    <w:rsid w:val="001D46D0"/>
    <w:rsid w:val="001D560C"/>
    <w:rsid w:val="001D69DA"/>
    <w:rsid w:val="001E02E1"/>
    <w:rsid w:val="001E0621"/>
    <w:rsid w:val="001E09C8"/>
    <w:rsid w:val="001E13E7"/>
    <w:rsid w:val="001E1A15"/>
    <w:rsid w:val="001E20F9"/>
    <w:rsid w:val="001E2255"/>
    <w:rsid w:val="001E36A6"/>
    <w:rsid w:val="001E479A"/>
    <w:rsid w:val="001E4DBA"/>
    <w:rsid w:val="001E55B7"/>
    <w:rsid w:val="001E5B7C"/>
    <w:rsid w:val="001E7624"/>
    <w:rsid w:val="001F0153"/>
    <w:rsid w:val="001F2D54"/>
    <w:rsid w:val="001F4C7C"/>
    <w:rsid w:val="001F591D"/>
    <w:rsid w:val="001F623B"/>
    <w:rsid w:val="001F6914"/>
    <w:rsid w:val="001F77FD"/>
    <w:rsid w:val="0020097C"/>
    <w:rsid w:val="002009CC"/>
    <w:rsid w:val="00201D21"/>
    <w:rsid w:val="00202469"/>
    <w:rsid w:val="0020259F"/>
    <w:rsid w:val="00202F68"/>
    <w:rsid w:val="00205EB0"/>
    <w:rsid w:val="00206E6C"/>
    <w:rsid w:val="002075A1"/>
    <w:rsid w:val="00207BAC"/>
    <w:rsid w:val="00210E08"/>
    <w:rsid w:val="002113F0"/>
    <w:rsid w:val="002129A2"/>
    <w:rsid w:val="00212B16"/>
    <w:rsid w:val="00213622"/>
    <w:rsid w:val="00214BE4"/>
    <w:rsid w:val="00214D29"/>
    <w:rsid w:val="00214EBB"/>
    <w:rsid w:val="00215845"/>
    <w:rsid w:val="002171F1"/>
    <w:rsid w:val="0022029A"/>
    <w:rsid w:val="002203CD"/>
    <w:rsid w:val="00222283"/>
    <w:rsid w:val="002226DB"/>
    <w:rsid w:val="00222C4D"/>
    <w:rsid w:val="00222D16"/>
    <w:rsid w:val="00224E5F"/>
    <w:rsid w:val="002251BE"/>
    <w:rsid w:val="0022534B"/>
    <w:rsid w:val="00226129"/>
    <w:rsid w:val="00227254"/>
    <w:rsid w:val="00232E06"/>
    <w:rsid w:val="00234411"/>
    <w:rsid w:val="00234AB1"/>
    <w:rsid w:val="00235A60"/>
    <w:rsid w:val="002365E0"/>
    <w:rsid w:val="00237433"/>
    <w:rsid w:val="0023758A"/>
    <w:rsid w:val="00241E9A"/>
    <w:rsid w:val="00242680"/>
    <w:rsid w:val="0024296C"/>
    <w:rsid w:val="00242BDC"/>
    <w:rsid w:val="00244466"/>
    <w:rsid w:val="00244AE8"/>
    <w:rsid w:val="002451AB"/>
    <w:rsid w:val="00246CC1"/>
    <w:rsid w:val="0024732B"/>
    <w:rsid w:val="00247B4D"/>
    <w:rsid w:val="00252110"/>
    <w:rsid w:val="0025262D"/>
    <w:rsid w:val="0025315B"/>
    <w:rsid w:val="00253EDE"/>
    <w:rsid w:val="00257AFA"/>
    <w:rsid w:val="00257AFB"/>
    <w:rsid w:val="00257BD8"/>
    <w:rsid w:val="00262B3E"/>
    <w:rsid w:val="00262D63"/>
    <w:rsid w:val="00263551"/>
    <w:rsid w:val="00263734"/>
    <w:rsid w:val="00264695"/>
    <w:rsid w:val="00264AF7"/>
    <w:rsid w:val="0026538C"/>
    <w:rsid w:val="00265786"/>
    <w:rsid w:val="00266C17"/>
    <w:rsid w:val="00267901"/>
    <w:rsid w:val="00270666"/>
    <w:rsid w:val="00270AF6"/>
    <w:rsid w:val="00270C70"/>
    <w:rsid w:val="0027192C"/>
    <w:rsid w:val="00271D2E"/>
    <w:rsid w:val="00272676"/>
    <w:rsid w:val="00272B49"/>
    <w:rsid w:val="00272E8E"/>
    <w:rsid w:val="00273E1B"/>
    <w:rsid w:val="002748DF"/>
    <w:rsid w:val="002755EF"/>
    <w:rsid w:val="00276B18"/>
    <w:rsid w:val="00277C0C"/>
    <w:rsid w:val="00277FBA"/>
    <w:rsid w:val="00280C41"/>
    <w:rsid w:val="00280FC7"/>
    <w:rsid w:val="002827E4"/>
    <w:rsid w:val="00282BF2"/>
    <w:rsid w:val="00283202"/>
    <w:rsid w:val="0028385C"/>
    <w:rsid w:val="00284E97"/>
    <w:rsid w:val="00284F35"/>
    <w:rsid w:val="00286F0F"/>
    <w:rsid w:val="00287CF1"/>
    <w:rsid w:val="00287FD7"/>
    <w:rsid w:val="00291466"/>
    <w:rsid w:val="00293826"/>
    <w:rsid w:val="002942AA"/>
    <w:rsid w:val="00294D1B"/>
    <w:rsid w:val="00295ACE"/>
    <w:rsid w:val="00295CA4"/>
    <w:rsid w:val="00295EB6"/>
    <w:rsid w:val="00297049"/>
    <w:rsid w:val="00297D0B"/>
    <w:rsid w:val="00297F80"/>
    <w:rsid w:val="002A0C9F"/>
    <w:rsid w:val="002A1054"/>
    <w:rsid w:val="002A1D1F"/>
    <w:rsid w:val="002A2909"/>
    <w:rsid w:val="002A2CE6"/>
    <w:rsid w:val="002A445E"/>
    <w:rsid w:val="002A54C0"/>
    <w:rsid w:val="002A59F9"/>
    <w:rsid w:val="002B01D0"/>
    <w:rsid w:val="002B22E0"/>
    <w:rsid w:val="002B2E65"/>
    <w:rsid w:val="002B35AE"/>
    <w:rsid w:val="002B3E67"/>
    <w:rsid w:val="002B43F3"/>
    <w:rsid w:val="002B4D94"/>
    <w:rsid w:val="002C2EF4"/>
    <w:rsid w:val="002C4396"/>
    <w:rsid w:val="002C4CC4"/>
    <w:rsid w:val="002C4FB7"/>
    <w:rsid w:val="002C58C2"/>
    <w:rsid w:val="002C7ED3"/>
    <w:rsid w:val="002D033B"/>
    <w:rsid w:val="002D0345"/>
    <w:rsid w:val="002D0B8F"/>
    <w:rsid w:val="002D0D18"/>
    <w:rsid w:val="002D1552"/>
    <w:rsid w:val="002D3A69"/>
    <w:rsid w:val="002D4485"/>
    <w:rsid w:val="002D5592"/>
    <w:rsid w:val="002D5C07"/>
    <w:rsid w:val="002D60AE"/>
    <w:rsid w:val="002E0199"/>
    <w:rsid w:val="002E0399"/>
    <w:rsid w:val="002E03C6"/>
    <w:rsid w:val="002E05CF"/>
    <w:rsid w:val="002E069E"/>
    <w:rsid w:val="002E06AB"/>
    <w:rsid w:val="002E410F"/>
    <w:rsid w:val="002E4CCD"/>
    <w:rsid w:val="002E4EFB"/>
    <w:rsid w:val="002E6A67"/>
    <w:rsid w:val="002E76AA"/>
    <w:rsid w:val="002F0228"/>
    <w:rsid w:val="002F295F"/>
    <w:rsid w:val="002F439B"/>
    <w:rsid w:val="002F4A03"/>
    <w:rsid w:val="002F6DEF"/>
    <w:rsid w:val="002F7459"/>
    <w:rsid w:val="0030099A"/>
    <w:rsid w:val="003038E7"/>
    <w:rsid w:val="003045B5"/>
    <w:rsid w:val="00304EF8"/>
    <w:rsid w:val="00306851"/>
    <w:rsid w:val="00306984"/>
    <w:rsid w:val="00310254"/>
    <w:rsid w:val="003147FA"/>
    <w:rsid w:val="00314A6D"/>
    <w:rsid w:val="00315716"/>
    <w:rsid w:val="003162CB"/>
    <w:rsid w:val="003163C8"/>
    <w:rsid w:val="00316AB8"/>
    <w:rsid w:val="003170D9"/>
    <w:rsid w:val="003203E1"/>
    <w:rsid w:val="00320DA8"/>
    <w:rsid w:val="00321826"/>
    <w:rsid w:val="00321F19"/>
    <w:rsid w:val="003221E2"/>
    <w:rsid w:val="0032444B"/>
    <w:rsid w:val="00324F55"/>
    <w:rsid w:val="00325EDB"/>
    <w:rsid w:val="00326C73"/>
    <w:rsid w:val="00326D32"/>
    <w:rsid w:val="00327D63"/>
    <w:rsid w:val="00331019"/>
    <w:rsid w:val="003320A3"/>
    <w:rsid w:val="0033340A"/>
    <w:rsid w:val="00333B94"/>
    <w:rsid w:val="00333DB8"/>
    <w:rsid w:val="00334F68"/>
    <w:rsid w:val="003357C6"/>
    <w:rsid w:val="003358A7"/>
    <w:rsid w:val="003359BC"/>
    <w:rsid w:val="0033658D"/>
    <w:rsid w:val="00336BB6"/>
    <w:rsid w:val="0033793E"/>
    <w:rsid w:val="00344FE0"/>
    <w:rsid w:val="00345625"/>
    <w:rsid w:val="00345852"/>
    <w:rsid w:val="00347790"/>
    <w:rsid w:val="00350011"/>
    <w:rsid w:val="00352627"/>
    <w:rsid w:val="003528A7"/>
    <w:rsid w:val="00353304"/>
    <w:rsid w:val="003548C0"/>
    <w:rsid w:val="003552C4"/>
    <w:rsid w:val="0035645E"/>
    <w:rsid w:val="003575EF"/>
    <w:rsid w:val="00357F6D"/>
    <w:rsid w:val="00361221"/>
    <w:rsid w:val="003615F5"/>
    <w:rsid w:val="0036284D"/>
    <w:rsid w:val="00362AD0"/>
    <w:rsid w:val="003634CC"/>
    <w:rsid w:val="0036433B"/>
    <w:rsid w:val="00365E7C"/>
    <w:rsid w:val="0036619B"/>
    <w:rsid w:val="003716D5"/>
    <w:rsid w:val="0037175F"/>
    <w:rsid w:val="003717D3"/>
    <w:rsid w:val="00372440"/>
    <w:rsid w:val="00372846"/>
    <w:rsid w:val="00372966"/>
    <w:rsid w:val="0037343E"/>
    <w:rsid w:val="00373525"/>
    <w:rsid w:val="00374765"/>
    <w:rsid w:val="00374D9C"/>
    <w:rsid w:val="00375681"/>
    <w:rsid w:val="003768F6"/>
    <w:rsid w:val="00376AD8"/>
    <w:rsid w:val="003774DF"/>
    <w:rsid w:val="0037751A"/>
    <w:rsid w:val="00382193"/>
    <w:rsid w:val="00384666"/>
    <w:rsid w:val="003850FF"/>
    <w:rsid w:val="00385586"/>
    <w:rsid w:val="003859C0"/>
    <w:rsid w:val="0038622B"/>
    <w:rsid w:val="003863CB"/>
    <w:rsid w:val="003867B4"/>
    <w:rsid w:val="00386B52"/>
    <w:rsid w:val="0038756F"/>
    <w:rsid w:val="00387D65"/>
    <w:rsid w:val="003907AD"/>
    <w:rsid w:val="00391A1B"/>
    <w:rsid w:val="0039378E"/>
    <w:rsid w:val="003944EB"/>
    <w:rsid w:val="00394F0C"/>
    <w:rsid w:val="0039505E"/>
    <w:rsid w:val="003969AC"/>
    <w:rsid w:val="003977CE"/>
    <w:rsid w:val="003A088E"/>
    <w:rsid w:val="003A113C"/>
    <w:rsid w:val="003A13C0"/>
    <w:rsid w:val="003A2106"/>
    <w:rsid w:val="003A2636"/>
    <w:rsid w:val="003A29E1"/>
    <w:rsid w:val="003A2AF1"/>
    <w:rsid w:val="003A309E"/>
    <w:rsid w:val="003A36F9"/>
    <w:rsid w:val="003A47FA"/>
    <w:rsid w:val="003A49AB"/>
    <w:rsid w:val="003A54C7"/>
    <w:rsid w:val="003A5542"/>
    <w:rsid w:val="003A5A90"/>
    <w:rsid w:val="003A6C42"/>
    <w:rsid w:val="003B1EB3"/>
    <w:rsid w:val="003B2DBB"/>
    <w:rsid w:val="003B3055"/>
    <w:rsid w:val="003B3C46"/>
    <w:rsid w:val="003B6370"/>
    <w:rsid w:val="003B6636"/>
    <w:rsid w:val="003B7527"/>
    <w:rsid w:val="003B764C"/>
    <w:rsid w:val="003C17E4"/>
    <w:rsid w:val="003C3AEA"/>
    <w:rsid w:val="003C5837"/>
    <w:rsid w:val="003C6808"/>
    <w:rsid w:val="003D00D1"/>
    <w:rsid w:val="003D2700"/>
    <w:rsid w:val="003D29B1"/>
    <w:rsid w:val="003D3180"/>
    <w:rsid w:val="003D389D"/>
    <w:rsid w:val="003D4A21"/>
    <w:rsid w:val="003D4DA9"/>
    <w:rsid w:val="003D6084"/>
    <w:rsid w:val="003D7F26"/>
    <w:rsid w:val="003E0256"/>
    <w:rsid w:val="003E02B8"/>
    <w:rsid w:val="003E09A4"/>
    <w:rsid w:val="003E169C"/>
    <w:rsid w:val="003E2B39"/>
    <w:rsid w:val="003E2F59"/>
    <w:rsid w:val="003E4035"/>
    <w:rsid w:val="003E5452"/>
    <w:rsid w:val="003E5EAA"/>
    <w:rsid w:val="003E67E0"/>
    <w:rsid w:val="003E6903"/>
    <w:rsid w:val="003E740C"/>
    <w:rsid w:val="003E795F"/>
    <w:rsid w:val="003E7E2E"/>
    <w:rsid w:val="003F1173"/>
    <w:rsid w:val="003F216D"/>
    <w:rsid w:val="003F2C6A"/>
    <w:rsid w:val="003F2D4F"/>
    <w:rsid w:val="003F3A54"/>
    <w:rsid w:val="003F3B69"/>
    <w:rsid w:val="003F49A2"/>
    <w:rsid w:val="003F4B8E"/>
    <w:rsid w:val="003F4C46"/>
    <w:rsid w:val="003F6576"/>
    <w:rsid w:val="003F66D6"/>
    <w:rsid w:val="003F6C52"/>
    <w:rsid w:val="004029D5"/>
    <w:rsid w:val="00402CE6"/>
    <w:rsid w:val="004030B3"/>
    <w:rsid w:val="004047CE"/>
    <w:rsid w:val="004057EB"/>
    <w:rsid w:val="00411357"/>
    <w:rsid w:val="00412024"/>
    <w:rsid w:val="00414F0C"/>
    <w:rsid w:val="00415148"/>
    <w:rsid w:val="00415241"/>
    <w:rsid w:val="00415647"/>
    <w:rsid w:val="004160F2"/>
    <w:rsid w:val="004170CF"/>
    <w:rsid w:val="004170DA"/>
    <w:rsid w:val="004172E9"/>
    <w:rsid w:val="004204E0"/>
    <w:rsid w:val="0042070D"/>
    <w:rsid w:val="0042077E"/>
    <w:rsid w:val="00420BDC"/>
    <w:rsid w:val="00421E56"/>
    <w:rsid w:val="00422588"/>
    <w:rsid w:val="00422EF9"/>
    <w:rsid w:val="00422F95"/>
    <w:rsid w:val="0042363D"/>
    <w:rsid w:val="0042461F"/>
    <w:rsid w:val="00424709"/>
    <w:rsid w:val="00424E97"/>
    <w:rsid w:val="00425897"/>
    <w:rsid w:val="00425D26"/>
    <w:rsid w:val="00430D94"/>
    <w:rsid w:val="00434C17"/>
    <w:rsid w:val="004354E7"/>
    <w:rsid w:val="00440644"/>
    <w:rsid w:val="00440791"/>
    <w:rsid w:val="004408A0"/>
    <w:rsid w:val="00440CE2"/>
    <w:rsid w:val="00442B51"/>
    <w:rsid w:val="0044303F"/>
    <w:rsid w:val="00444011"/>
    <w:rsid w:val="004455FE"/>
    <w:rsid w:val="004468FA"/>
    <w:rsid w:val="00446BC0"/>
    <w:rsid w:val="00446DD0"/>
    <w:rsid w:val="00446DFD"/>
    <w:rsid w:val="00446F81"/>
    <w:rsid w:val="00447365"/>
    <w:rsid w:val="0044748E"/>
    <w:rsid w:val="00450DB0"/>
    <w:rsid w:val="0045255D"/>
    <w:rsid w:val="00452E6F"/>
    <w:rsid w:val="0045559A"/>
    <w:rsid w:val="00455E42"/>
    <w:rsid w:val="0045645A"/>
    <w:rsid w:val="00456632"/>
    <w:rsid w:val="004568BC"/>
    <w:rsid w:val="004574C0"/>
    <w:rsid w:val="00457509"/>
    <w:rsid w:val="00461DB9"/>
    <w:rsid w:val="004628BD"/>
    <w:rsid w:val="00463032"/>
    <w:rsid w:val="0046385E"/>
    <w:rsid w:val="00463E48"/>
    <w:rsid w:val="0046438A"/>
    <w:rsid w:val="00466BB5"/>
    <w:rsid w:val="00466DF1"/>
    <w:rsid w:val="004676F6"/>
    <w:rsid w:val="00470EB7"/>
    <w:rsid w:val="0047336A"/>
    <w:rsid w:val="004734F0"/>
    <w:rsid w:val="00474733"/>
    <w:rsid w:val="004757DA"/>
    <w:rsid w:val="004757F8"/>
    <w:rsid w:val="00475CD7"/>
    <w:rsid w:val="0047765A"/>
    <w:rsid w:val="004821CC"/>
    <w:rsid w:val="004824D4"/>
    <w:rsid w:val="0048268B"/>
    <w:rsid w:val="00482D13"/>
    <w:rsid w:val="004839AC"/>
    <w:rsid w:val="004855E4"/>
    <w:rsid w:val="004858FF"/>
    <w:rsid w:val="00485AA6"/>
    <w:rsid w:val="00486215"/>
    <w:rsid w:val="004862D3"/>
    <w:rsid w:val="0048632D"/>
    <w:rsid w:val="004864A5"/>
    <w:rsid w:val="004871D2"/>
    <w:rsid w:val="004902E7"/>
    <w:rsid w:val="00490C51"/>
    <w:rsid w:val="00490FEA"/>
    <w:rsid w:val="004915BB"/>
    <w:rsid w:val="00492083"/>
    <w:rsid w:val="0049208F"/>
    <w:rsid w:val="00493896"/>
    <w:rsid w:val="00493BD0"/>
    <w:rsid w:val="00494514"/>
    <w:rsid w:val="00495470"/>
    <w:rsid w:val="00495C32"/>
    <w:rsid w:val="0049600F"/>
    <w:rsid w:val="00496550"/>
    <w:rsid w:val="00497732"/>
    <w:rsid w:val="00497CF2"/>
    <w:rsid w:val="004A0120"/>
    <w:rsid w:val="004A0395"/>
    <w:rsid w:val="004A08AC"/>
    <w:rsid w:val="004A0D92"/>
    <w:rsid w:val="004A16D7"/>
    <w:rsid w:val="004A18FE"/>
    <w:rsid w:val="004A2FAB"/>
    <w:rsid w:val="004A3045"/>
    <w:rsid w:val="004A3E31"/>
    <w:rsid w:val="004A4CBB"/>
    <w:rsid w:val="004A5377"/>
    <w:rsid w:val="004A57DA"/>
    <w:rsid w:val="004A77A8"/>
    <w:rsid w:val="004A77AD"/>
    <w:rsid w:val="004A7AB7"/>
    <w:rsid w:val="004A7CD3"/>
    <w:rsid w:val="004B0736"/>
    <w:rsid w:val="004B0B51"/>
    <w:rsid w:val="004B1738"/>
    <w:rsid w:val="004B24A8"/>
    <w:rsid w:val="004B3107"/>
    <w:rsid w:val="004B35A7"/>
    <w:rsid w:val="004B3BE6"/>
    <w:rsid w:val="004B3F9C"/>
    <w:rsid w:val="004B43C1"/>
    <w:rsid w:val="004B6F44"/>
    <w:rsid w:val="004B7E70"/>
    <w:rsid w:val="004C05D9"/>
    <w:rsid w:val="004C123F"/>
    <w:rsid w:val="004C1435"/>
    <w:rsid w:val="004C1474"/>
    <w:rsid w:val="004C1814"/>
    <w:rsid w:val="004C1DBA"/>
    <w:rsid w:val="004C2C7D"/>
    <w:rsid w:val="004C3222"/>
    <w:rsid w:val="004C3A37"/>
    <w:rsid w:val="004C4E19"/>
    <w:rsid w:val="004C66AE"/>
    <w:rsid w:val="004C782D"/>
    <w:rsid w:val="004C7D21"/>
    <w:rsid w:val="004D0264"/>
    <w:rsid w:val="004D2070"/>
    <w:rsid w:val="004D39C9"/>
    <w:rsid w:val="004D3AE0"/>
    <w:rsid w:val="004D4BB2"/>
    <w:rsid w:val="004D5394"/>
    <w:rsid w:val="004D7146"/>
    <w:rsid w:val="004E018E"/>
    <w:rsid w:val="004E171E"/>
    <w:rsid w:val="004E1997"/>
    <w:rsid w:val="004E2340"/>
    <w:rsid w:val="004E2976"/>
    <w:rsid w:val="004E37B0"/>
    <w:rsid w:val="004E663E"/>
    <w:rsid w:val="004E73DC"/>
    <w:rsid w:val="004F09CF"/>
    <w:rsid w:val="004F0B52"/>
    <w:rsid w:val="004F0E5A"/>
    <w:rsid w:val="004F355F"/>
    <w:rsid w:val="004F3A12"/>
    <w:rsid w:val="004F52E0"/>
    <w:rsid w:val="004F68E5"/>
    <w:rsid w:val="004F6B5D"/>
    <w:rsid w:val="004F76E2"/>
    <w:rsid w:val="005005F2"/>
    <w:rsid w:val="0050121E"/>
    <w:rsid w:val="0050291A"/>
    <w:rsid w:val="00502B23"/>
    <w:rsid w:val="00502BB9"/>
    <w:rsid w:val="005030CB"/>
    <w:rsid w:val="00503E6C"/>
    <w:rsid w:val="00504E91"/>
    <w:rsid w:val="005051C5"/>
    <w:rsid w:val="00505A3B"/>
    <w:rsid w:val="005106D7"/>
    <w:rsid w:val="00510D9B"/>
    <w:rsid w:val="0051166F"/>
    <w:rsid w:val="00513601"/>
    <w:rsid w:val="0051390B"/>
    <w:rsid w:val="0051663F"/>
    <w:rsid w:val="00516AC4"/>
    <w:rsid w:val="00520577"/>
    <w:rsid w:val="0052074C"/>
    <w:rsid w:val="0052248D"/>
    <w:rsid w:val="00522EEB"/>
    <w:rsid w:val="005239CF"/>
    <w:rsid w:val="005240C6"/>
    <w:rsid w:val="0052544F"/>
    <w:rsid w:val="00525E54"/>
    <w:rsid w:val="00530B91"/>
    <w:rsid w:val="00534528"/>
    <w:rsid w:val="00534D6B"/>
    <w:rsid w:val="005352D0"/>
    <w:rsid w:val="00535796"/>
    <w:rsid w:val="005364B9"/>
    <w:rsid w:val="00536E89"/>
    <w:rsid w:val="005402FC"/>
    <w:rsid w:val="00540A25"/>
    <w:rsid w:val="00540D2F"/>
    <w:rsid w:val="00540F2B"/>
    <w:rsid w:val="0054154D"/>
    <w:rsid w:val="00541BE3"/>
    <w:rsid w:val="0054468F"/>
    <w:rsid w:val="00544A8A"/>
    <w:rsid w:val="00545BA7"/>
    <w:rsid w:val="0054695D"/>
    <w:rsid w:val="00550325"/>
    <w:rsid w:val="0055033A"/>
    <w:rsid w:val="005504EF"/>
    <w:rsid w:val="00550578"/>
    <w:rsid w:val="00550829"/>
    <w:rsid w:val="00550A31"/>
    <w:rsid w:val="00551607"/>
    <w:rsid w:val="00551E2A"/>
    <w:rsid w:val="00552F51"/>
    <w:rsid w:val="0055332A"/>
    <w:rsid w:val="00553C7E"/>
    <w:rsid w:val="00554A5F"/>
    <w:rsid w:val="00555CF7"/>
    <w:rsid w:val="00556EEA"/>
    <w:rsid w:val="00556FC3"/>
    <w:rsid w:val="00557171"/>
    <w:rsid w:val="00560572"/>
    <w:rsid w:val="00561751"/>
    <w:rsid w:val="00562A4C"/>
    <w:rsid w:val="005633BE"/>
    <w:rsid w:val="00564336"/>
    <w:rsid w:val="00564913"/>
    <w:rsid w:val="00565D43"/>
    <w:rsid w:val="00566352"/>
    <w:rsid w:val="00566911"/>
    <w:rsid w:val="0056765B"/>
    <w:rsid w:val="005703E0"/>
    <w:rsid w:val="0057059F"/>
    <w:rsid w:val="00570D6C"/>
    <w:rsid w:val="005713D1"/>
    <w:rsid w:val="00572839"/>
    <w:rsid w:val="00572BE5"/>
    <w:rsid w:val="00573394"/>
    <w:rsid w:val="00573E4F"/>
    <w:rsid w:val="00575666"/>
    <w:rsid w:val="00575776"/>
    <w:rsid w:val="0057658C"/>
    <w:rsid w:val="00576EE0"/>
    <w:rsid w:val="005813FF"/>
    <w:rsid w:val="00581BE4"/>
    <w:rsid w:val="00581BFF"/>
    <w:rsid w:val="0058260A"/>
    <w:rsid w:val="005836DD"/>
    <w:rsid w:val="00584397"/>
    <w:rsid w:val="00584DF7"/>
    <w:rsid w:val="00584FD2"/>
    <w:rsid w:val="005861CF"/>
    <w:rsid w:val="005863CD"/>
    <w:rsid w:val="00587069"/>
    <w:rsid w:val="0058727C"/>
    <w:rsid w:val="005900E0"/>
    <w:rsid w:val="0059087D"/>
    <w:rsid w:val="005908CF"/>
    <w:rsid w:val="00593F98"/>
    <w:rsid w:val="005951F5"/>
    <w:rsid w:val="005955F5"/>
    <w:rsid w:val="0059682C"/>
    <w:rsid w:val="005969C9"/>
    <w:rsid w:val="005A01D4"/>
    <w:rsid w:val="005A1021"/>
    <w:rsid w:val="005A1154"/>
    <w:rsid w:val="005A13BB"/>
    <w:rsid w:val="005A1784"/>
    <w:rsid w:val="005A2425"/>
    <w:rsid w:val="005A3362"/>
    <w:rsid w:val="005A550A"/>
    <w:rsid w:val="005A55EE"/>
    <w:rsid w:val="005A5B1F"/>
    <w:rsid w:val="005A5F83"/>
    <w:rsid w:val="005A6511"/>
    <w:rsid w:val="005A6578"/>
    <w:rsid w:val="005A675C"/>
    <w:rsid w:val="005A6841"/>
    <w:rsid w:val="005B0C99"/>
    <w:rsid w:val="005B155E"/>
    <w:rsid w:val="005B1B8D"/>
    <w:rsid w:val="005B1BB8"/>
    <w:rsid w:val="005B2A53"/>
    <w:rsid w:val="005B3CD0"/>
    <w:rsid w:val="005B3CF5"/>
    <w:rsid w:val="005B3F7F"/>
    <w:rsid w:val="005B4424"/>
    <w:rsid w:val="005B471E"/>
    <w:rsid w:val="005B4930"/>
    <w:rsid w:val="005B58A6"/>
    <w:rsid w:val="005B7671"/>
    <w:rsid w:val="005B7C16"/>
    <w:rsid w:val="005C00A1"/>
    <w:rsid w:val="005C01E8"/>
    <w:rsid w:val="005C2EAB"/>
    <w:rsid w:val="005C33B1"/>
    <w:rsid w:val="005C5FB2"/>
    <w:rsid w:val="005D0228"/>
    <w:rsid w:val="005D0E9F"/>
    <w:rsid w:val="005D13EB"/>
    <w:rsid w:val="005D2AB1"/>
    <w:rsid w:val="005D394C"/>
    <w:rsid w:val="005D39D1"/>
    <w:rsid w:val="005D3AB8"/>
    <w:rsid w:val="005D3BB4"/>
    <w:rsid w:val="005D4050"/>
    <w:rsid w:val="005D405F"/>
    <w:rsid w:val="005D4166"/>
    <w:rsid w:val="005D43AE"/>
    <w:rsid w:val="005D501E"/>
    <w:rsid w:val="005D5461"/>
    <w:rsid w:val="005D5B81"/>
    <w:rsid w:val="005D5BCA"/>
    <w:rsid w:val="005D5F47"/>
    <w:rsid w:val="005D6592"/>
    <w:rsid w:val="005D6B84"/>
    <w:rsid w:val="005E1803"/>
    <w:rsid w:val="005E198F"/>
    <w:rsid w:val="005E1A3B"/>
    <w:rsid w:val="005E20E8"/>
    <w:rsid w:val="005E30BF"/>
    <w:rsid w:val="005E3418"/>
    <w:rsid w:val="005E37A8"/>
    <w:rsid w:val="005E54D0"/>
    <w:rsid w:val="005E70CA"/>
    <w:rsid w:val="005F178B"/>
    <w:rsid w:val="005F269B"/>
    <w:rsid w:val="005F31A7"/>
    <w:rsid w:val="005F331D"/>
    <w:rsid w:val="005F366E"/>
    <w:rsid w:val="005F3A03"/>
    <w:rsid w:val="005F3C35"/>
    <w:rsid w:val="005F3E3E"/>
    <w:rsid w:val="005F4599"/>
    <w:rsid w:val="005F5B2B"/>
    <w:rsid w:val="005F6E54"/>
    <w:rsid w:val="005F7C23"/>
    <w:rsid w:val="005F7D31"/>
    <w:rsid w:val="005F7D5C"/>
    <w:rsid w:val="006007E3"/>
    <w:rsid w:val="0060140C"/>
    <w:rsid w:val="00603210"/>
    <w:rsid w:val="006036E4"/>
    <w:rsid w:val="00603BD9"/>
    <w:rsid w:val="00604E67"/>
    <w:rsid w:val="00605F64"/>
    <w:rsid w:val="006067B0"/>
    <w:rsid w:val="00606AF4"/>
    <w:rsid w:val="006076B2"/>
    <w:rsid w:val="00607849"/>
    <w:rsid w:val="0061007B"/>
    <w:rsid w:val="00611695"/>
    <w:rsid w:val="00611866"/>
    <w:rsid w:val="006122FD"/>
    <w:rsid w:val="006123B5"/>
    <w:rsid w:val="00614564"/>
    <w:rsid w:val="00614818"/>
    <w:rsid w:val="00614F71"/>
    <w:rsid w:val="00615F5A"/>
    <w:rsid w:val="00616893"/>
    <w:rsid w:val="006169E0"/>
    <w:rsid w:val="00616E4D"/>
    <w:rsid w:val="006178A8"/>
    <w:rsid w:val="0061792F"/>
    <w:rsid w:val="00617C87"/>
    <w:rsid w:val="00621D3D"/>
    <w:rsid w:val="00621E5C"/>
    <w:rsid w:val="00622292"/>
    <w:rsid w:val="00622BC0"/>
    <w:rsid w:val="00622C6D"/>
    <w:rsid w:val="00623311"/>
    <w:rsid w:val="00623521"/>
    <w:rsid w:val="00627C42"/>
    <w:rsid w:val="006304F3"/>
    <w:rsid w:val="00630E7C"/>
    <w:rsid w:val="00632927"/>
    <w:rsid w:val="00632FDF"/>
    <w:rsid w:val="00633064"/>
    <w:rsid w:val="00633408"/>
    <w:rsid w:val="00633FD1"/>
    <w:rsid w:val="00634DAD"/>
    <w:rsid w:val="0063627B"/>
    <w:rsid w:val="00636664"/>
    <w:rsid w:val="00637742"/>
    <w:rsid w:val="0064249A"/>
    <w:rsid w:val="006431C9"/>
    <w:rsid w:val="0064338F"/>
    <w:rsid w:val="0064374C"/>
    <w:rsid w:val="00644258"/>
    <w:rsid w:val="00645062"/>
    <w:rsid w:val="006470FB"/>
    <w:rsid w:val="00647FA5"/>
    <w:rsid w:val="006511D8"/>
    <w:rsid w:val="0065276F"/>
    <w:rsid w:val="0065359C"/>
    <w:rsid w:val="006535CD"/>
    <w:rsid w:val="006549E8"/>
    <w:rsid w:val="0065585B"/>
    <w:rsid w:val="006565AA"/>
    <w:rsid w:val="00657378"/>
    <w:rsid w:val="00660472"/>
    <w:rsid w:val="00661F1C"/>
    <w:rsid w:val="00662008"/>
    <w:rsid w:val="00664D84"/>
    <w:rsid w:val="00666DBA"/>
    <w:rsid w:val="006673DD"/>
    <w:rsid w:val="00670D89"/>
    <w:rsid w:val="00671062"/>
    <w:rsid w:val="006710B5"/>
    <w:rsid w:val="006724D6"/>
    <w:rsid w:val="0067367B"/>
    <w:rsid w:val="00675321"/>
    <w:rsid w:val="006760CD"/>
    <w:rsid w:val="00676238"/>
    <w:rsid w:val="00676764"/>
    <w:rsid w:val="0067693D"/>
    <w:rsid w:val="00676A3E"/>
    <w:rsid w:val="00680869"/>
    <w:rsid w:val="00680C85"/>
    <w:rsid w:val="006816D0"/>
    <w:rsid w:val="00681922"/>
    <w:rsid w:val="0068269D"/>
    <w:rsid w:val="00683CDA"/>
    <w:rsid w:val="006859FA"/>
    <w:rsid w:val="00692113"/>
    <w:rsid w:val="0069428E"/>
    <w:rsid w:val="006944A4"/>
    <w:rsid w:val="00694961"/>
    <w:rsid w:val="00694B0F"/>
    <w:rsid w:val="00694F0F"/>
    <w:rsid w:val="006954BA"/>
    <w:rsid w:val="006954ED"/>
    <w:rsid w:val="00695D9D"/>
    <w:rsid w:val="0069671D"/>
    <w:rsid w:val="00696A92"/>
    <w:rsid w:val="00696BCD"/>
    <w:rsid w:val="006A076B"/>
    <w:rsid w:val="006A096C"/>
    <w:rsid w:val="006A0C79"/>
    <w:rsid w:val="006A0EE0"/>
    <w:rsid w:val="006A2DFB"/>
    <w:rsid w:val="006A448F"/>
    <w:rsid w:val="006A48B7"/>
    <w:rsid w:val="006A5247"/>
    <w:rsid w:val="006A5467"/>
    <w:rsid w:val="006A5E36"/>
    <w:rsid w:val="006A6152"/>
    <w:rsid w:val="006A7A69"/>
    <w:rsid w:val="006A7D5C"/>
    <w:rsid w:val="006B1579"/>
    <w:rsid w:val="006B1E14"/>
    <w:rsid w:val="006B200E"/>
    <w:rsid w:val="006B24A1"/>
    <w:rsid w:val="006B71DD"/>
    <w:rsid w:val="006C0627"/>
    <w:rsid w:val="006C097E"/>
    <w:rsid w:val="006C4C35"/>
    <w:rsid w:val="006C547F"/>
    <w:rsid w:val="006C5D5E"/>
    <w:rsid w:val="006C6409"/>
    <w:rsid w:val="006C6D88"/>
    <w:rsid w:val="006D13AD"/>
    <w:rsid w:val="006D25ED"/>
    <w:rsid w:val="006D2A86"/>
    <w:rsid w:val="006D2DF7"/>
    <w:rsid w:val="006D37B5"/>
    <w:rsid w:val="006D3FDC"/>
    <w:rsid w:val="006D4D06"/>
    <w:rsid w:val="006D6279"/>
    <w:rsid w:val="006D6F68"/>
    <w:rsid w:val="006D7224"/>
    <w:rsid w:val="006E0733"/>
    <w:rsid w:val="006E0AEC"/>
    <w:rsid w:val="006E2E8D"/>
    <w:rsid w:val="006E33C0"/>
    <w:rsid w:val="006E3DEF"/>
    <w:rsid w:val="006E3FA8"/>
    <w:rsid w:val="006E4BB5"/>
    <w:rsid w:val="006E4F78"/>
    <w:rsid w:val="006E58B0"/>
    <w:rsid w:val="006E6689"/>
    <w:rsid w:val="006E76FD"/>
    <w:rsid w:val="006E7766"/>
    <w:rsid w:val="006E7A0B"/>
    <w:rsid w:val="006F0AF9"/>
    <w:rsid w:val="006F0F55"/>
    <w:rsid w:val="006F110C"/>
    <w:rsid w:val="006F2C07"/>
    <w:rsid w:val="006F3EF4"/>
    <w:rsid w:val="006F41B9"/>
    <w:rsid w:val="006F58C4"/>
    <w:rsid w:val="006F6A9C"/>
    <w:rsid w:val="006F7DA3"/>
    <w:rsid w:val="006F7F6B"/>
    <w:rsid w:val="00700787"/>
    <w:rsid w:val="00700A82"/>
    <w:rsid w:val="00701590"/>
    <w:rsid w:val="007015DE"/>
    <w:rsid w:val="007016B4"/>
    <w:rsid w:val="0070198A"/>
    <w:rsid w:val="007019B9"/>
    <w:rsid w:val="00701F93"/>
    <w:rsid w:val="0070397E"/>
    <w:rsid w:val="0070455D"/>
    <w:rsid w:val="00706290"/>
    <w:rsid w:val="00706741"/>
    <w:rsid w:val="007078EB"/>
    <w:rsid w:val="00707A8F"/>
    <w:rsid w:val="00707E3C"/>
    <w:rsid w:val="00710253"/>
    <w:rsid w:val="00710D28"/>
    <w:rsid w:val="007125B8"/>
    <w:rsid w:val="007129B6"/>
    <w:rsid w:val="00712A1A"/>
    <w:rsid w:val="007134AC"/>
    <w:rsid w:val="007134EF"/>
    <w:rsid w:val="0071401C"/>
    <w:rsid w:val="0071490B"/>
    <w:rsid w:val="00714A0A"/>
    <w:rsid w:val="00714B86"/>
    <w:rsid w:val="00714FC1"/>
    <w:rsid w:val="00715A85"/>
    <w:rsid w:val="00715F5C"/>
    <w:rsid w:val="00717169"/>
    <w:rsid w:val="0071785E"/>
    <w:rsid w:val="007178F4"/>
    <w:rsid w:val="00717CD7"/>
    <w:rsid w:val="00717E1A"/>
    <w:rsid w:val="007209AE"/>
    <w:rsid w:val="007219E0"/>
    <w:rsid w:val="00721B9D"/>
    <w:rsid w:val="00721E7D"/>
    <w:rsid w:val="00722AFA"/>
    <w:rsid w:val="007237CC"/>
    <w:rsid w:val="00723D49"/>
    <w:rsid w:val="00724700"/>
    <w:rsid w:val="00724AD8"/>
    <w:rsid w:val="00725AD9"/>
    <w:rsid w:val="0072655F"/>
    <w:rsid w:val="0072668F"/>
    <w:rsid w:val="0072740D"/>
    <w:rsid w:val="00727A6B"/>
    <w:rsid w:val="00730F75"/>
    <w:rsid w:val="00732028"/>
    <w:rsid w:val="0073244E"/>
    <w:rsid w:val="00732757"/>
    <w:rsid w:val="007327B0"/>
    <w:rsid w:val="00734003"/>
    <w:rsid w:val="007351D7"/>
    <w:rsid w:val="00735BD0"/>
    <w:rsid w:val="007361A9"/>
    <w:rsid w:val="007368AA"/>
    <w:rsid w:val="00736D72"/>
    <w:rsid w:val="00737A2E"/>
    <w:rsid w:val="00740463"/>
    <w:rsid w:val="00740642"/>
    <w:rsid w:val="00740957"/>
    <w:rsid w:val="00740BF5"/>
    <w:rsid w:val="00741A0B"/>
    <w:rsid w:val="007420A5"/>
    <w:rsid w:val="007424E0"/>
    <w:rsid w:val="00742C0F"/>
    <w:rsid w:val="00742FD7"/>
    <w:rsid w:val="00743BB3"/>
    <w:rsid w:val="0074741E"/>
    <w:rsid w:val="00747C0E"/>
    <w:rsid w:val="007504FD"/>
    <w:rsid w:val="00750649"/>
    <w:rsid w:val="00750914"/>
    <w:rsid w:val="00751CF3"/>
    <w:rsid w:val="00753A17"/>
    <w:rsid w:val="00754314"/>
    <w:rsid w:val="007543F0"/>
    <w:rsid w:val="00754592"/>
    <w:rsid w:val="007557AE"/>
    <w:rsid w:val="0075586A"/>
    <w:rsid w:val="007563C2"/>
    <w:rsid w:val="00756647"/>
    <w:rsid w:val="00756AEF"/>
    <w:rsid w:val="00757CD6"/>
    <w:rsid w:val="007607C8"/>
    <w:rsid w:val="0076091B"/>
    <w:rsid w:val="00760C10"/>
    <w:rsid w:val="00760FBC"/>
    <w:rsid w:val="007647FC"/>
    <w:rsid w:val="007648C3"/>
    <w:rsid w:val="007648F1"/>
    <w:rsid w:val="0076494C"/>
    <w:rsid w:val="00765369"/>
    <w:rsid w:val="0076579B"/>
    <w:rsid w:val="007659DA"/>
    <w:rsid w:val="007668E2"/>
    <w:rsid w:val="00766D6F"/>
    <w:rsid w:val="00767DBA"/>
    <w:rsid w:val="007708B2"/>
    <w:rsid w:val="00771008"/>
    <w:rsid w:val="0077157B"/>
    <w:rsid w:val="00771AB3"/>
    <w:rsid w:val="00774739"/>
    <w:rsid w:val="00774F33"/>
    <w:rsid w:val="00776333"/>
    <w:rsid w:val="00776E95"/>
    <w:rsid w:val="007777D6"/>
    <w:rsid w:val="0078083D"/>
    <w:rsid w:val="00782FE0"/>
    <w:rsid w:val="00783126"/>
    <w:rsid w:val="007831C2"/>
    <w:rsid w:val="007833F0"/>
    <w:rsid w:val="00784B69"/>
    <w:rsid w:val="00786788"/>
    <w:rsid w:val="00786CCF"/>
    <w:rsid w:val="007875DC"/>
    <w:rsid w:val="007907DE"/>
    <w:rsid w:val="00793D89"/>
    <w:rsid w:val="00794371"/>
    <w:rsid w:val="00794807"/>
    <w:rsid w:val="007957FD"/>
    <w:rsid w:val="00795F4F"/>
    <w:rsid w:val="00797077"/>
    <w:rsid w:val="007978E4"/>
    <w:rsid w:val="00797BCB"/>
    <w:rsid w:val="007A0819"/>
    <w:rsid w:val="007A17A4"/>
    <w:rsid w:val="007A1D0C"/>
    <w:rsid w:val="007A26CC"/>
    <w:rsid w:val="007A3221"/>
    <w:rsid w:val="007A4219"/>
    <w:rsid w:val="007A4519"/>
    <w:rsid w:val="007A55B2"/>
    <w:rsid w:val="007A6C0A"/>
    <w:rsid w:val="007A6F11"/>
    <w:rsid w:val="007A75FE"/>
    <w:rsid w:val="007B0317"/>
    <w:rsid w:val="007B3DE6"/>
    <w:rsid w:val="007B5354"/>
    <w:rsid w:val="007B575F"/>
    <w:rsid w:val="007B5E58"/>
    <w:rsid w:val="007B635C"/>
    <w:rsid w:val="007B763E"/>
    <w:rsid w:val="007B7CAC"/>
    <w:rsid w:val="007C08B4"/>
    <w:rsid w:val="007C0D15"/>
    <w:rsid w:val="007C1BCB"/>
    <w:rsid w:val="007C404D"/>
    <w:rsid w:val="007C40EC"/>
    <w:rsid w:val="007C4B78"/>
    <w:rsid w:val="007C4F2B"/>
    <w:rsid w:val="007C753B"/>
    <w:rsid w:val="007D0C7C"/>
    <w:rsid w:val="007D0D2C"/>
    <w:rsid w:val="007D1C43"/>
    <w:rsid w:val="007D1DB3"/>
    <w:rsid w:val="007D458A"/>
    <w:rsid w:val="007D4E00"/>
    <w:rsid w:val="007D595E"/>
    <w:rsid w:val="007D69F8"/>
    <w:rsid w:val="007D6D0C"/>
    <w:rsid w:val="007D7081"/>
    <w:rsid w:val="007E08F9"/>
    <w:rsid w:val="007E0A76"/>
    <w:rsid w:val="007E0FC6"/>
    <w:rsid w:val="007E14A2"/>
    <w:rsid w:val="007E1CC1"/>
    <w:rsid w:val="007E3AAC"/>
    <w:rsid w:val="007E67DC"/>
    <w:rsid w:val="007E7CCD"/>
    <w:rsid w:val="007F05C5"/>
    <w:rsid w:val="007F11D6"/>
    <w:rsid w:val="007F132B"/>
    <w:rsid w:val="007F2304"/>
    <w:rsid w:val="007F47E8"/>
    <w:rsid w:val="007F64F2"/>
    <w:rsid w:val="007F6C69"/>
    <w:rsid w:val="008012E3"/>
    <w:rsid w:val="00801683"/>
    <w:rsid w:val="00801BEA"/>
    <w:rsid w:val="00802526"/>
    <w:rsid w:val="008026EB"/>
    <w:rsid w:val="00802EFC"/>
    <w:rsid w:val="0080512F"/>
    <w:rsid w:val="008077D3"/>
    <w:rsid w:val="00807915"/>
    <w:rsid w:val="00810432"/>
    <w:rsid w:val="00811661"/>
    <w:rsid w:val="00811947"/>
    <w:rsid w:val="008119C2"/>
    <w:rsid w:val="008124B9"/>
    <w:rsid w:val="0081319A"/>
    <w:rsid w:val="00813995"/>
    <w:rsid w:val="0081475F"/>
    <w:rsid w:val="008148EE"/>
    <w:rsid w:val="00815209"/>
    <w:rsid w:val="00815A45"/>
    <w:rsid w:val="00816466"/>
    <w:rsid w:val="00817EAD"/>
    <w:rsid w:val="00820C07"/>
    <w:rsid w:val="0082234F"/>
    <w:rsid w:val="00822364"/>
    <w:rsid w:val="00822AF2"/>
    <w:rsid w:val="00823B99"/>
    <w:rsid w:val="00824D50"/>
    <w:rsid w:val="008261CC"/>
    <w:rsid w:val="00826411"/>
    <w:rsid w:val="00826826"/>
    <w:rsid w:val="00827088"/>
    <w:rsid w:val="0082748E"/>
    <w:rsid w:val="00827555"/>
    <w:rsid w:val="00831053"/>
    <w:rsid w:val="008315AE"/>
    <w:rsid w:val="008317F3"/>
    <w:rsid w:val="008319EC"/>
    <w:rsid w:val="00831F18"/>
    <w:rsid w:val="00832883"/>
    <w:rsid w:val="0083313D"/>
    <w:rsid w:val="008340B5"/>
    <w:rsid w:val="00834411"/>
    <w:rsid w:val="008344D3"/>
    <w:rsid w:val="00834E63"/>
    <w:rsid w:val="008357A4"/>
    <w:rsid w:val="00836751"/>
    <w:rsid w:val="008373F2"/>
    <w:rsid w:val="0083793E"/>
    <w:rsid w:val="008415EF"/>
    <w:rsid w:val="0084247F"/>
    <w:rsid w:val="008427E7"/>
    <w:rsid w:val="00842A13"/>
    <w:rsid w:val="008438D9"/>
    <w:rsid w:val="00843E31"/>
    <w:rsid w:val="008458A6"/>
    <w:rsid w:val="00845D8B"/>
    <w:rsid w:val="0084679C"/>
    <w:rsid w:val="00850379"/>
    <w:rsid w:val="00850DFD"/>
    <w:rsid w:val="00851D23"/>
    <w:rsid w:val="00852897"/>
    <w:rsid w:val="0085322D"/>
    <w:rsid w:val="00853A8F"/>
    <w:rsid w:val="00854047"/>
    <w:rsid w:val="008544F6"/>
    <w:rsid w:val="008545BB"/>
    <w:rsid w:val="00855A45"/>
    <w:rsid w:val="008563AF"/>
    <w:rsid w:val="00856886"/>
    <w:rsid w:val="008571E8"/>
    <w:rsid w:val="008575B4"/>
    <w:rsid w:val="008601BC"/>
    <w:rsid w:val="008603CC"/>
    <w:rsid w:val="008615EF"/>
    <w:rsid w:val="008620CE"/>
    <w:rsid w:val="008630B1"/>
    <w:rsid w:val="0086345D"/>
    <w:rsid w:val="00865B97"/>
    <w:rsid w:val="00865BB7"/>
    <w:rsid w:val="00866DBF"/>
    <w:rsid w:val="00867341"/>
    <w:rsid w:val="008719B4"/>
    <w:rsid w:val="00871BFF"/>
    <w:rsid w:val="00874173"/>
    <w:rsid w:val="00874394"/>
    <w:rsid w:val="008760AF"/>
    <w:rsid w:val="00876AB2"/>
    <w:rsid w:val="00876ECD"/>
    <w:rsid w:val="008773C3"/>
    <w:rsid w:val="00880F9E"/>
    <w:rsid w:val="008812E1"/>
    <w:rsid w:val="008842D1"/>
    <w:rsid w:val="00885076"/>
    <w:rsid w:val="00885B9D"/>
    <w:rsid w:val="00886143"/>
    <w:rsid w:val="00886AA1"/>
    <w:rsid w:val="00886EEE"/>
    <w:rsid w:val="0089013E"/>
    <w:rsid w:val="00890238"/>
    <w:rsid w:val="00890E61"/>
    <w:rsid w:val="00891DD1"/>
    <w:rsid w:val="00892485"/>
    <w:rsid w:val="0089253A"/>
    <w:rsid w:val="00893196"/>
    <w:rsid w:val="00894287"/>
    <w:rsid w:val="00894B2E"/>
    <w:rsid w:val="00895EBC"/>
    <w:rsid w:val="00896174"/>
    <w:rsid w:val="00896AD8"/>
    <w:rsid w:val="008975C1"/>
    <w:rsid w:val="00897917"/>
    <w:rsid w:val="00897E00"/>
    <w:rsid w:val="008A07A5"/>
    <w:rsid w:val="008A16A9"/>
    <w:rsid w:val="008A28C5"/>
    <w:rsid w:val="008A4BB0"/>
    <w:rsid w:val="008A6741"/>
    <w:rsid w:val="008A6F87"/>
    <w:rsid w:val="008B17CE"/>
    <w:rsid w:val="008B22E2"/>
    <w:rsid w:val="008B3282"/>
    <w:rsid w:val="008B403A"/>
    <w:rsid w:val="008B6EA6"/>
    <w:rsid w:val="008B78EC"/>
    <w:rsid w:val="008B7940"/>
    <w:rsid w:val="008B7B44"/>
    <w:rsid w:val="008C57E0"/>
    <w:rsid w:val="008C67A6"/>
    <w:rsid w:val="008C69D5"/>
    <w:rsid w:val="008C7A32"/>
    <w:rsid w:val="008D0222"/>
    <w:rsid w:val="008D1D49"/>
    <w:rsid w:val="008D3A29"/>
    <w:rsid w:val="008D4CD1"/>
    <w:rsid w:val="008D59FA"/>
    <w:rsid w:val="008D7001"/>
    <w:rsid w:val="008D7A17"/>
    <w:rsid w:val="008D7AD5"/>
    <w:rsid w:val="008D7B33"/>
    <w:rsid w:val="008E063F"/>
    <w:rsid w:val="008E0EAF"/>
    <w:rsid w:val="008E27A5"/>
    <w:rsid w:val="008E394C"/>
    <w:rsid w:val="008E4C76"/>
    <w:rsid w:val="008E57D0"/>
    <w:rsid w:val="008E6630"/>
    <w:rsid w:val="008E6DB7"/>
    <w:rsid w:val="008E7C2B"/>
    <w:rsid w:val="008F008E"/>
    <w:rsid w:val="008F174A"/>
    <w:rsid w:val="008F1EDD"/>
    <w:rsid w:val="008F1F6A"/>
    <w:rsid w:val="008F34DF"/>
    <w:rsid w:val="008F3A87"/>
    <w:rsid w:val="008F3EA4"/>
    <w:rsid w:val="008F5E92"/>
    <w:rsid w:val="008F6902"/>
    <w:rsid w:val="008F6F97"/>
    <w:rsid w:val="008F72E3"/>
    <w:rsid w:val="00900AA5"/>
    <w:rsid w:val="00900C9E"/>
    <w:rsid w:val="00902395"/>
    <w:rsid w:val="00902429"/>
    <w:rsid w:val="00902FD7"/>
    <w:rsid w:val="0090400D"/>
    <w:rsid w:val="009046EF"/>
    <w:rsid w:val="00906E96"/>
    <w:rsid w:val="00907D7C"/>
    <w:rsid w:val="00910244"/>
    <w:rsid w:val="00910743"/>
    <w:rsid w:val="00910E49"/>
    <w:rsid w:val="00912835"/>
    <w:rsid w:val="0091306F"/>
    <w:rsid w:val="0091575C"/>
    <w:rsid w:val="00915B82"/>
    <w:rsid w:val="00916DE5"/>
    <w:rsid w:val="00920807"/>
    <w:rsid w:val="00920C62"/>
    <w:rsid w:val="00921A32"/>
    <w:rsid w:val="00921D12"/>
    <w:rsid w:val="00921DD9"/>
    <w:rsid w:val="009232CD"/>
    <w:rsid w:val="009235C6"/>
    <w:rsid w:val="00923916"/>
    <w:rsid w:val="00923BB8"/>
    <w:rsid w:val="00924B24"/>
    <w:rsid w:val="00924E7D"/>
    <w:rsid w:val="0092513E"/>
    <w:rsid w:val="00926B14"/>
    <w:rsid w:val="00926E74"/>
    <w:rsid w:val="009306CA"/>
    <w:rsid w:val="00931F4F"/>
    <w:rsid w:val="00932D1E"/>
    <w:rsid w:val="0093322A"/>
    <w:rsid w:val="009335E5"/>
    <w:rsid w:val="00933F3A"/>
    <w:rsid w:val="0093531B"/>
    <w:rsid w:val="00935786"/>
    <w:rsid w:val="00940040"/>
    <w:rsid w:val="00940EAD"/>
    <w:rsid w:val="00941128"/>
    <w:rsid w:val="00943C9A"/>
    <w:rsid w:val="00946497"/>
    <w:rsid w:val="0094649A"/>
    <w:rsid w:val="0094655A"/>
    <w:rsid w:val="009500EA"/>
    <w:rsid w:val="00951F2F"/>
    <w:rsid w:val="00952848"/>
    <w:rsid w:val="00953F76"/>
    <w:rsid w:val="00954C34"/>
    <w:rsid w:val="0095576F"/>
    <w:rsid w:val="00956CD2"/>
    <w:rsid w:val="00957569"/>
    <w:rsid w:val="00960A21"/>
    <w:rsid w:val="009610E8"/>
    <w:rsid w:val="009625CF"/>
    <w:rsid w:val="00962705"/>
    <w:rsid w:val="009663F9"/>
    <w:rsid w:val="009671BC"/>
    <w:rsid w:val="00971A42"/>
    <w:rsid w:val="00972158"/>
    <w:rsid w:val="00972958"/>
    <w:rsid w:val="0097334F"/>
    <w:rsid w:val="009750B2"/>
    <w:rsid w:val="00975318"/>
    <w:rsid w:val="009766A4"/>
    <w:rsid w:val="00977052"/>
    <w:rsid w:val="009802BD"/>
    <w:rsid w:val="00980309"/>
    <w:rsid w:val="00982006"/>
    <w:rsid w:val="00982817"/>
    <w:rsid w:val="00983756"/>
    <w:rsid w:val="00983BBD"/>
    <w:rsid w:val="00983E98"/>
    <w:rsid w:val="00983EA3"/>
    <w:rsid w:val="00984D94"/>
    <w:rsid w:val="009850DB"/>
    <w:rsid w:val="00993128"/>
    <w:rsid w:val="0099488B"/>
    <w:rsid w:val="00995D92"/>
    <w:rsid w:val="0099639B"/>
    <w:rsid w:val="009967B0"/>
    <w:rsid w:val="00996D6E"/>
    <w:rsid w:val="00997251"/>
    <w:rsid w:val="009A0FB4"/>
    <w:rsid w:val="009A1331"/>
    <w:rsid w:val="009A18EB"/>
    <w:rsid w:val="009A1D68"/>
    <w:rsid w:val="009A231C"/>
    <w:rsid w:val="009A32D1"/>
    <w:rsid w:val="009A37D2"/>
    <w:rsid w:val="009A3996"/>
    <w:rsid w:val="009A5557"/>
    <w:rsid w:val="009A5757"/>
    <w:rsid w:val="009A6989"/>
    <w:rsid w:val="009B01C8"/>
    <w:rsid w:val="009B13CA"/>
    <w:rsid w:val="009B187A"/>
    <w:rsid w:val="009B22C7"/>
    <w:rsid w:val="009B2790"/>
    <w:rsid w:val="009B3A88"/>
    <w:rsid w:val="009B41B2"/>
    <w:rsid w:val="009B4571"/>
    <w:rsid w:val="009B47FA"/>
    <w:rsid w:val="009B4F48"/>
    <w:rsid w:val="009B5057"/>
    <w:rsid w:val="009C05E4"/>
    <w:rsid w:val="009C0CDD"/>
    <w:rsid w:val="009C1EC6"/>
    <w:rsid w:val="009C2FDE"/>
    <w:rsid w:val="009C3F91"/>
    <w:rsid w:val="009C4588"/>
    <w:rsid w:val="009C5324"/>
    <w:rsid w:val="009C536D"/>
    <w:rsid w:val="009C7DE9"/>
    <w:rsid w:val="009D238C"/>
    <w:rsid w:val="009D6CD1"/>
    <w:rsid w:val="009D7121"/>
    <w:rsid w:val="009D764C"/>
    <w:rsid w:val="009D788D"/>
    <w:rsid w:val="009E053B"/>
    <w:rsid w:val="009E05A0"/>
    <w:rsid w:val="009E109A"/>
    <w:rsid w:val="009E1152"/>
    <w:rsid w:val="009E11F9"/>
    <w:rsid w:val="009E19CC"/>
    <w:rsid w:val="009E2E57"/>
    <w:rsid w:val="009E3698"/>
    <w:rsid w:val="009E3930"/>
    <w:rsid w:val="009E4D0A"/>
    <w:rsid w:val="009E5FB1"/>
    <w:rsid w:val="009E640F"/>
    <w:rsid w:val="009E6A4A"/>
    <w:rsid w:val="009F0513"/>
    <w:rsid w:val="009F0A9A"/>
    <w:rsid w:val="009F1316"/>
    <w:rsid w:val="009F538A"/>
    <w:rsid w:val="009F6B37"/>
    <w:rsid w:val="009F74F9"/>
    <w:rsid w:val="00A004DD"/>
    <w:rsid w:val="00A00C87"/>
    <w:rsid w:val="00A00CBC"/>
    <w:rsid w:val="00A012A3"/>
    <w:rsid w:val="00A02F10"/>
    <w:rsid w:val="00A02FCB"/>
    <w:rsid w:val="00A03967"/>
    <w:rsid w:val="00A06A84"/>
    <w:rsid w:val="00A079BC"/>
    <w:rsid w:val="00A10259"/>
    <w:rsid w:val="00A106DB"/>
    <w:rsid w:val="00A1161D"/>
    <w:rsid w:val="00A11920"/>
    <w:rsid w:val="00A11B10"/>
    <w:rsid w:val="00A11E25"/>
    <w:rsid w:val="00A12851"/>
    <w:rsid w:val="00A13021"/>
    <w:rsid w:val="00A1415F"/>
    <w:rsid w:val="00A1475C"/>
    <w:rsid w:val="00A14952"/>
    <w:rsid w:val="00A16BF8"/>
    <w:rsid w:val="00A21379"/>
    <w:rsid w:val="00A21D76"/>
    <w:rsid w:val="00A21FF1"/>
    <w:rsid w:val="00A22C82"/>
    <w:rsid w:val="00A23F69"/>
    <w:rsid w:val="00A24205"/>
    <w:rsid w:val="00A24275"/>
    <w:rsid w:val="00A248D3"/>
    <w:rsid w:val="00A2513D"/>
    <w:rsid w:val="00A31A6D"/>
    <w:rsid w:val="00A3422A"/>
    <w:rsid w:val="00A35344"/>
    <w:rsid w:val="00A35D0E"/>
    <w:rsid w:val="00A36E74"/>
    <w:rsid w:val="00A37A88"/>
    <w:rsid w:val="00A414E1"/>
    <w:rsid w:val="00A418AC"/>
    <w:rsid w:val="00A424D2"/>
    <w:rsid w:val="00A42650"/>
    <w:rsid w:val="00A42F8D"/>
    <w:rsid w:val="00A43569"/>
    <w:rsid w:val="00A4504E"/>
    <w:rsid w:val="00A454AB"/>
    <w:rsid w:val="00A45C7E"/>
    <w:rsid w:val="00A47095"/>
    <w:rsid w:val="00A47570"/>
    <w:rsid w:val="00A47B1C"/>
    <w:rsid w:val="00A5173F"/>
    <w:rsid w:val="00A525C8"/>
    <w:rsid w:val="00A52FB1"/>
    <w:rsid w:val="00A52FF6"/>
    <w:rsid w:val="00A542CD"/>
    <w:rsid w:val="00A55509"/>
    <w:rsid w:val="00A560D5"/>
    <w:rsid w:val="00A57074"/>
    <w:rsid w:val="00A5733E"/>
    <w:rsid w:val="00A577A5"/>
    <w:rsid w:val="00A60D23"/>
    <w:rsid w:val="00A61C8B"/>
    <w:rsid w:val="00A61CC0"/>
    <w:rsid w:val="00A62903"/>
    <w:rsid w:val="00A62F02"/>
    <w:rsid w:val="00A6502E"/>
    <w:rsid w:val="00A65EC4"/>
    <w:rsid w:val="00A66B49"/>
    <w:rsid w:val="00A67422"/>
    <w:rsid w:val="00A67DBF"/>
    <w:rsid w:val="00A73E16"/>
    <w:rsid w:val="00A74293"/>
    <w:rsid w:val="00A758AB"/>
    <w:rsid w:val="00A75EA9"/>
    <w:rsid w:val="00A767CF"/>
    <w:rsid w:val="00A815F2"/>
    <w:rsid w:val="00A83C15"/>
    <w:rsid w:val="00A83E77"/>
    <w:rsid w:val="00A83EDE"/>
    <w:rsid w:val="00A84E8D"/>
    <w:rsid w:val="00A8569E"/>
    <w:rsid w:val="00A867BB"/>
    <w:rsid w:val="00A874E3"/>
    <w:rsid w:val="00A90127"/>
    <w:rsid w:val="00A90AED"/>
    <w:rsid w:val="00A91F52"/>
    <w:rsid w:val="00A9210A"/>
    <w:rsid w:val="00A934F1"/>
    <w:rsid w:val="00A942FA"/>
    <w:rsid w:val="00A950F6"/>
    <w:rsid w:val="00AA1211"/>
    <w:rsid w:val="00AA14BC"/>
    <w:rsid w:val="00AA30EA"/>
    <w:rsid w:val="00AA4287"/>
    <w:rsid w:val="00AA4C3F"/>
    <w:rsid w:val="00AA64E9"/>
    <w:rsid w:val="00AA7704"/>
    <w:rsid w:val="00AB18E9"/>
    <w:rsid w:val="00AB2DDF"/>
    <w:rsid w:val="00AB2F66"/>
    <w:rsid w:val="00AB3421"/>
    <w:rsid w:val="00AB3532"/>
    <w:rsid w:val="00AB4354"/>
    <w:rsid w:val="00AB6CF8"/>
    <w:rsid w:val="00AB6FC3"/>
    <w:rsid w:val="00AB7571"/>
    <w:rsid w:val="00AB7D4E"/>
    <w:rsid w:val="00AC0505"/>
    <w:rsid w:val="00AC2DF4"/>
    <w:rsid w:val="00AC3685"/>
    <w:rsid w:val="00AC3873"/>
    <w:rsid w:val="00AC3A9E"/>
    <w:rsid w:val="00AC3DC0"/>
    <w:rsid w:val="00AC4713"/>
    <w:rsid w:val="00AC62E0"/>
    <w:rsid w:val="00AD177F"/>
    <w:rsid w:val="00AD3106"/>
    <w:rsid w:val="00AD4006"/>
    <w:rsid w:val="00AD4077"/>
    <w:rsid w:val="00AD4475"/>
    <w:rsid w:val="00AD464B"/>
    <w:rsid w:val="00AD52AB"/>
    <w:rsid w:val="00AE127B"/>
    <w:rsid w:val="00AE18CA"/>
    <w:rsid w:val="00AE2294"/>
    <w:rsid w:val="00AE2616"/>
    <w:rsid w:val="00AE2BFA"/>
    <w:rsid w:val="00AE33E1"/>
    <w:rsid w:val="00AE588E"/>
    <w:rsid w:val="00AE5EF5"/>
    <w:rsid w:val="00AE679D"/>
    <w:rsid w:val="00AE7164"/>
    <w:rsid w:val="00AE7254"/>
    <w:rsid w:val="00AE7D6B"/>
    <w:rsid w:val="00AF0222"/>
    <w:rsid w:val="00AF0F41"/>
    <w:rsid w:val="00AF1D74"/>
    <w:rsid w:val="00AF2AEB"/>
    <w:rsid w:val="00AF379F"/>
    <w:rsid w:val="00AF38AC"/>
    <w:rsid w:val="00AF3EB6"/>
    <w:rsid w:val="00AF4DF8"/>
    <w:rsid w:val="00AF4ED4"/>
    <w:rsid w:val="00AF6299"/>
    <w:rsid w:val="00B00DEB"/>
    <w:rsid w:val="00B02837"/>
    <w:rsid w:val="00B02D96"/>
    <w:rsid w:val="00B036C0"/>
    <w:rsid w:val="00B04BFC"/>
    <w:rsid w:val="00B04CF6"/>
    <w:rsid w:val="00B05989"/>
    <w:rsid w:val="00B05E3E"/>
    <w:rsid w:val="00B06482"/>
    <w:rsid w:val="00B07CC5"/>
    <w:rsid w:val="00B07DFA"/>
    <w:rsid w:val="00B12654"/>
    <w:rsid w:val="00B12CFE"/>
    <w:rsid w:val="00B133C7"/>
    <w:rsid w:val="00B14191"/>
    <w:rsid w:val="00B153D0"/>
    <w:rsid w:val="00B15A03"/>
    <w:rsid w:val="00B16400"/>
    <w:rsid w:val="00B208BC"/>
    <w:rsid w:val="00B22DD4"/>
    <w:rsid w:val="00B237D6"/>
    <w:rsid w:val="00B23B49"/>
    <w:rsid w:val="00B23D24"/>
    <w:rsid w:val="00B23E4E"/>
    <w:rsid w:val="00B249E7"/>
    <w:rsid w:val="00B24A29"/>
    <w:rsid w:val="00B26D9B"/>
    <w:rsid w:val="00B26DFC"/>
    <w:rsid w:val="00B27DD9"/>
    <w:rsid w:val="00B30A08"/>
    <w:rsid w:val="00B31615"/>
    <w:rsid w:val="00B316AB"/>
    <w:rsid w:val="00B31A3B"/>
    <w:rsid w:val="00B33701"/>
    <w:rsid w:val="00B33AAF"/>
    <w:rsid w:val="00B34171"/>
    <w:rsid w:val="00B34828"/>
    <w:rsid w:val="00B35182"/>
    <w:rsid w:val="00B36590"/>
    <w:rsid w:val="00B36DF7"/>
    <w:rsid w:val="00B37A17"/>
    <w:rsid w:val="00B4165E"/>
    <w:rsid w:val="00B436FF"/>
    <w:rsid w:val="00B43E0F"/>
    <w:rsid w:val="00B476DD"/>
    <w:rsid w:val="00B51AF1"/>
    <w:rsid w:val="00B51EFF"/>
    <w:rsid w:val="00B52CDE"/>
    <w:rsid w:val="00B53926"/>
    <w:rsid w:val="00B53934"/>
    <w:rsid w:val="00B555B3"/>
    <w:rsid w:val="00B55C24"/>
    <w:rsid w:val="00B61275"/>
    <w:rsid w:val="00B627ED"/>
    <w:rsid w:val="00B62D38"/>
    <w:rsid w:val="00B63011"/>
    <w:rsid w:val="00B63083"/>
    <w:rsid w:val="00B63AD3"/>
    <w:rsid w:val="00B63D00"/>
    <w:rsid w:val="00B64967"/>
    <w:rsid w:val="00B65CDB"/>
    <w:rsid w:val="00B66032"/>
    <w:rsid w:val="00B660B7"/>
    <w:rsid w:val="00B665E1"/>
    <w:rsid w:val="00B67E93"/>
    <w:rsid w:val="00B7065C"/>
    <w:rsid w:val="00B706EF"/>
    <w:rsid w:val="00B7148D"/>
    <w:rsid w:val="00B71D14"/>
    <w:rsid w:val="00B72415"/>
    <w:rsid w:val="00B72A7F"/>
    <w:rsid w:val="00B72BFB"/>
    <w:rsid w:val="00B744CA"/>
    <w:rsid w:val="00B74727"/>
    <w:rsid w:val="00B76129"/>
    <w:rsid w:val="00B76251"/>
    <w:rsid w:val="00B7764A"/>
    <w:rsid w:val="00B77775"/>
    <w:rsid w:val="00B802B8"/>
    <w:rsid w:val="00B805D5"/>
    <w:rsid w:val="00B813FA"/>
    <w:rsid w:val="00B8186A"/>
    <w:rsid w:val="00B81E1A"/>
    <w:rsid w:val="00B823D8"/>
    <w:rsid w:val="00B8243D"/>
    <w:rsid w:val="00B82D8B"/>
    <w:rsid w:val="00B83332"/>
    <w:rsid w:val="00B83A2A"/>
    <w:rsid w:val="00B844C8"/>
    <w:rsid w:val="00B860DA"/>
    <w:rsid w:val="00B87293"/>
    <w:rsid w:val="00B872BE"/>
    <w:rsid w:val="00B8780A"/>
    <w:rsid w:val="00B87B65"/>
    <w:rsid w:val="00B90541"/>
    <w:rsid w:val="00B90A36"/>
    <w:rsid w:val="00B90CF3"/>
    <w:rsid w:val="00B91E62"/>
    <w:rsid w:val="00B91FC3"/>
    <w:rsid w:val="00B92582"/>
    <w:rsid w:val="00B9559C"/>
    <w:rsid w:val="00B9712F"/>
    <w:rsid w:val="00B978C9"/>
    <w:rsid w:val="00B97C30"/>
    <w:rsid w:val="00B97C34"/>
    <w:rsid w:val="00BA0354"/>
    <w:rsid w:val="00BA28A2"/>
    <w:rsid w:val="00BA3910"/>
    <w:rsid w:val="00BA4C08"/>
    <w:rsid w:val="00BA4C4A"/>
    <w:rsid w:val="00BA60ED"/>
    <w:rsid w:val="00BB09B5"/>
    <w:rsid w:val="00BB0A13"/>
    <w:rsid w:val="00BB0A83"/>
    <w:rsid w:val="00BB1CC1"/>
    <w:rsid w:val="00BB25DA"/>
    <w:rsid w:val="00BB2C10"/>
    <w:rsid w:val="00BB3B69"/>
    <w:rsid w:val="00BB41CC"/>
    <w:rsid w:val="00BB6F66"/>
    <w:rsid w:val="00BB7F1F"/>
    <w:rsid w:val="00BC0706"/>
    <w:rsid w:val="00BC2348"/>
    <w:rsid w:val="00BC2F39"/>
    <w:rsid w:val="00BC35E5"/>
    <w:rsid w:val="00BC387E"/>
    <w:rsid w:val="00BC4114"/>
    <w:rsid w:val="00BC44FE"/>
    <w:rsid w:val="00BC4684"/>
    <w:rsid w:val="00BC73D0"/>
    <w:rsid w:val="00BD1301"/>
    <w:rsid w:val="00BE05E1"/>
    <w:rsid w:val="00BE1F26"/>
    <w:rsid w:val="00BE1FF5"/>
    <w:rsid w:val="00BE4557"/>
    <w:rsid w:val="00BE4DAC"/>
    <w:rsid w:val="00BE5351"/>
    <w:rsid w:val="00BE53E0"/>
    <w:rsid w:val="00BE7306"/>
    <w:rsid w:val="00BE742A"/>
    <w:rsid w:val="00BE7750"/>
    <w:rsid w:val="00BE7CF6"/>
    <w:rsid w:val="00BF090C"/>
    <w:rsid w:val="00BF0F9C"/>
    <w:rsid w:val="00BF1470"/>
    <w:rsid w:val="00BF1BED"/>
    <w:rsid w:val="00BF1E95"/>
    <w:rsid w:val="00BF33A7"/>
    <w:rsid w:val="00BF5839"/>
    <w:rsid w:val="00BF6700"/>
    <w:rsid w:val="00BF7033"/>
    <w:rsid w:val="00BF7B1A"/>
    <w:rsid w:val="00C000F6"/>
    <w:rsid w:val="00C00A20"/>
    <w:rsid w:val="00C00DE9"/>
    <w:rsid w:val="00C01BCF"/>
    <w:rsid w:val="00C041F6"/>
    <w:rsid w:val="00C0456E"/>
    <w:rsid w:val="00C058F1"/>
    <w:rsid w:val="00C07294"/>
    <w:rsid w:val="00C07CF7"/>
    <w:rsid w:val="00C10A2C"/>
    <w:rsid w:val="00C1129A"/>
    <w:rsid w:val="00C11394"/>
    <w:rsid w:val="00C114E4"/>
    <w:rsid w:val="00C1164E"/>
    <w:rsid w:val="00C117EB"/>
    <w:rsid w:val="00C11F7B"/>
    <w:rsid w:val="00C12488"/>
    <w:rsid w:val="00C125EF"/>
    <w:rsid w:val="00C1267D"/>
    <w:rsid w:val="00C1277E"/>
    <w:rsid w:val="00C1385B"/>
    <w:rsid w:val="00C13E5E"/>
    <w:rsid w:val="00C15F1A"/>
    <w:rsid w:val="00C16E9E"/>
    <w:rsid w:val="00C201C8"/>
    <w:rsid w:val="00C20B91"/>
    <w:rsid w:val="00C20DCB"/>
    <w:rsid w:val="00C212B7"/>
    <w:rsid w:val="00C2657E"/>
    <w:rsid w:val="00C27702"/>
    <w:rsid w:val="00C31227"/>
    <w:rsid w:val="00C34FA5"/>
    <w:rsid w:val="00C351F1"/>
    <w:rsid w:val="00C36349"/>
    <w:rsid w:val="00C36494"/>
    <w:rsid w:val="00C36B4F"/>
    <w:rsid w:val="00C4254E"/>
    <w:rsid w:val="00C42B26"/>
    <w:rsid w:val="00C42E8C"/>
    <w:rsid w:val="00C44B67"/>
    <w:rsid w:val="00C45897"/>
    <w:rsid w:val="00C45B64"/>
    <w:rsid w:val="00C46CE4"/>
    <w:rsid w:val="00C47D42"/>
    <w:rsid w:val="00C501F7"/>
    <w:rsid w:val="00C5037F"/>
    <w:rsid w:val="00C50A31"/>
    <w:rsid w:val="00C51891"/>
    <w:rsid w:val="00C527BB"/>
    <w:rsid w:val="00C52834"/>
    <w:rsid w:val="00C53971"/>
    <w:rsid w:val="00C542D5"/>
    <w:rsid w:val="00C5458D"/>
    <w:rsid w:val="00C56AFD"/>
    <w:rsid w:val="00C5728D"/>
    <w:rsid w:val="00C577F4"/>
    <w:rsid w:val="00C57917"/>
    <w:rsid w:val="00C57947"/>
    <w:rsid w:val="00C57AFE"/>
    <w:rsid w:val="00C6029D"/>
    <w:rsid w:val="00C609B5"/>
    <w:rsid w:val="00C626BE"/>
    <w:rsid w:val="00C633CE"/>
    <w:rsid w:val="00C6400D"/>
    <w:rsid w:val="00C64791"/>
    <w:rsid w:val="00C668C7"/>
    <w:rsid w:val="00C67A8D"/>
    <w:rsid w:val="00C67C08"/>
    <w:rsid w:val="00C715A0"/>
    <w:rsid w:val="00C74539"/>
    <w:rsid w:val="00C74D6F"/>
    <w:rsid w:val="00C754BC"/>
    <w:rsid w:val="00C76B15"/>
    <w:rsid w:val="00C76EBF"/>
    <w:rsid w:val="00C77F60"/>
    <w:rsid w:val="00C77FC2"/>
    <w:rsid w:val="00C800AD"/>
    <w:rsid w:val="00C81767"/>
    <w:rsid w:val="00C81C02"/>
    <w:rsid w:val="00C838D2"/>
    <w:rsid w:val="00C8397D"/>
    <w:rsid w:val="00C8580F"/>
    <w:rsid w:val="00C85819"/>
    <w:rsid w:val="00C85EDD"/>
    <w:rsid w:val="00C86482"/>
    <w:rsid w:val="00C878F7"/>
    <w:rsid w:val="00C90C03"/>
    <w:rsid w:val="00C90C12"/>
    <w:rsid w:val="00C91866"/>
    <w:rsid w:val="00C91B6B"/>
    <w:rsid w:val="00C93494"/>
    <w:rsid w:val="00C95036"/>
    <w:rsid w:val="00C96F03"/>
    <w:rsid w:val="00CA05E8"/>
    <w:rsid w:val="00CA0A65"/>
    <w:rsid w:val="00CA115F"/>
    <w:rsid w:val="00CA1D82"/>
    <w:rsid w:val="00CA1EAE"/>
    <w:rsid w:val="00CA217C"/>
    <w:rsid w:val="00CA28C6"/>
    <w:rsid w:val="00CA3A42"/>
    <w:rsid w:val="00CA3BCE"/>
    <w:rsid w:val="00CB036D"/>
    <w:rsid w:val="00CB04C4"/>
    <w:rsid w:val="00CB0BAB"/>
    <w:rsid w:val="00CB1328"/>
    <w:rsid w:val="00CB2A92"/>
    <w:rsid w:val="00CB2E8F"/>
    <w:rsid w:val="00CB2FBE"/>
    <w:rsid w:val="00CB3250"/>
    <w:rsid w:val="00CB4583"/>
    <w:rsid w:val="00CB47A3"/>
    <w:rsid w:val="00CB49E0"/>
    <w:rsid w:val="00CB6454"/>
    <w:rsid w:val="00CB7E8D"/>
    <w:rsid w:val="00CC05A3"/>
    <w:rsid w:val="00CC0AAA"/>
    <w:rsid w:val="00CC1160"/>
    <w:rsid w:val="00CC165B"/>
    <w:rsid w:val="00CC1E3D"/>
    <w:rsid w:val="00CC238F"/>
    <w:rsid w:val="00CC2F3C"/>
    <w:rsid w:val="00CC3243"/>
    <w:rsid w:val="00CC397B"/>
    <w:rsid w:val="00CC4EAF"/>
    <w:rsid w:val="00CC675A"/>
    <w:rsid w:val="00CC67BF"/>
    <w:rsid w:val="00CC681C"/>
    <w:rsid w:val="00CC7A11"/>
    <w:rsid w:val="00CD436C"/>
    <w:rsid w:val="00CD43E4"/>
    <w:rsid w:val="00CD6326"/>
    <w:rsid w:val="00CD65BC"/>
    <w:rsid w:val="00CD6A9D"/>
    <w:rsid w:val="00CD6F8B"/>
    <w:rsid w:val="00CD729F"/>
    <w:rsid w:val="00CD744B"/>
    <w:rsid w:val="00CD7793"/>
    <w:rsid w:val="00CE2A4E"/>
    <w:rsid w:val="00CE31BB"/>
    <w:rsid w:val="00CE38FC"/>
    <w:rsid w:val="00CE4BF5"/>
    <w:rsid w:val="00CE5C53"/>
    <w:rsid w:val="00CE6507"/>
    <w:rsid w:val="00CE66D6"/>
    <w:rsid w:val="00CE6876"/>
    <w:rsid w:val="00CF127D"/>
    <w:rsid w:val="00CF135B"/>
    <w:rsid w:val="00CF1407"/>
    <w:rsid w:val="00CF14AD"/>
    <w:rsid w:val="00CF185A"/>
    <w:rsid w:val="00CF238A"/>
    <w:rsid w:val="00CF5704"/>
    <w:rsid w:val="00CF79AB"/>
    <w:rsid w:val="00D012B8"/>
    <w:rsid w:val="00D0163D"/>
    <w:rsid w:val="00D0347B"/>
    <w:rsid w:val="00D03803"/>
    <w:rsid w:val="00D047D6"/>
    <w:rsid w:val="00D04F36"/>
    <w:rsid w:val="00D0702B"/>
    <w:rsid w:val="00D07825"/>
    <w:rsid w:val="00D10332"/>
    <w:rsid w:val="00D10A25"/>
    <w:rsid w:val="00D11101"/>
    <w:rsid w:val="00D1187E"/>
    <w:rsid w:val="00D1306A"/>
    <w:rsid w:val="00D138B0"/>
    <w:rsid w:val="00D13AC0"/>
    <w:rsid w:val="00D15593"/>
    <w:rsid w:val="00D15E6E"/>
    <w:rsid w:val="00D207C5"/>
    <w:rsid w:val="00D20E7E"/>
    <w:rsid w:val="00D21374"/>
    <w:rsid w:val="00D231E8"/>
    <w:rsid w:val="00D23478"/>
    <w:rsid w:val="00D23871"/>
    <w:rsid w:val="00D25623"/>
    <w:rsid w:val="00D264F2"/>
    <w:rsid w:val="00D271C4"/>
    <w:rsid w:val="00D2791C"/>
    <w:rsid w:val="00D27AAC"/>
    <w:rsid w:val="00D30FDF"/>
    <w:rsid w:val="00D32542"/>
    <w:rsid w:val="00D331AB"/>
    <w:rsid w:val="00D33F5E"/>
    <w:rsid w:val="00D3641C"/>
    <w:rsid w:val="00D37F0E"/>
    <w:rsid w:val="00D42254"/>
    <w:rsid w:val="00D42425"/>
    <w:rsid w:val="00D426D0"/>
    <w:rsid w:val="00D42BE6"/>
    <w:rsid w:val="00D44A30"/>
    <w:rsid w:val="00D45100"/>
    <w:rsid w:val="00D457F4"/>
    <w:rsid w:val="00D45AEE"/>
    <w:rsid w:val="00D46575"/>
    <w:rsid w:val="00D46C72"/>
    <w:rsid w:val="00D500C8"/>
    <w:rsid w:val="00D5029F"/>
    <w:rsid w:val="00D50BFC"/>
    <w:rsid w:val="00D52645"/>
    <w:rsid w:val="00D54ED0"/>
    <w:rsid w:val="00D559F0"/>
    <w:rsid w:val="00D5653F"/>
    <w:rsid w:val="00D61107"/>
    <w:rsid w:val="00D61C1A"/>
    <w:rsid w:val="00D628D3"/>
    <w:rsid w:val="00D63B0D"/>
    <w:rsid w:val="00D6467B"/>
    <w:rsid w:val="00D64707"/>
    <w:rsid w:val="00D65102"/>
    <w:rsid w:val="00D65F5B"/>
    <w:rsid w:val="00D66271"/>
    <w:rsid w:val="00D67001"/>
    <w:rsid w:val="00D67801"/>
    <w:rsid w:val="00D67E35"/>
    <w:rsid w:val="00D70546"/>
    <w:rsid w:val="00D71D3F"/>
    <w:rsid w:val="00D734E8"/>
    <w:rsid w:val="00D7367A"/>
    <w:rsid w:val="00D75300"/>
    <w:rsid w:val="00D75420"/>
    <w:rsid w:val="00D76AE5"/>
    <w:rsid w:val="00D80012"/>
    <w:rsid w:val="00D826EF"/>
    <w:rsid w:val="00D8277F"/>
    <w:rsid w:val="00D82E1F"/>
    <w:rsid w:val="00D83F31"/>
    <w:rsid w:val="00D843DA"/>
    <w:rsid w:val="00D853CF"/>
    <w:rsid w:val="00D85945"/>
    <w:rsid w:val="00D864F9"/>
    <w:rsid w:val="00D86C68"/>
    <w:rsid w:val="00D879BB"/>
    <w:rsid w:val="00D903B1"/>
    <w:rsid w:val="00D91332"/>
    <w:rsid w:val="00D96019"/>
    <w:rsid w:val="00D9609E"/>
    <w:rsid w:val="00D975DB"/>
    <w:rsid w:val="00DA15DB"/>
    <w:rsid w:val="00DA1CE7"/>
    <w:rsid w:val="00DA2CF0"/>
    <w:rsid w:val="00DA2EC0"/>
    <w:rsid w:val="00DA37DC"/>
    <w:rsid w:val="00DA3A46"/>
    <w:rsid w:val="00DA61C9"/>
    <w:rsid w:val="00DA703E"/>
    <w:rsid w:val="00DA7913"/>
    <w:rsid w:val="00DA7934"/>
    <w:rsid w:val="00DB0294"/>
    <w:rsid w:val="00DB0643"/>
    <w:rsid w:val="00DB08E9"/>
    <w:rsid w:val="00DB2797"/>
    <w:rsid w:val="00DB2D6E"/>
    <w:rsid w:val="00DB51CC"/>
    <w:rsid w:val="00DB5239"/>
    <w:rsid w:val="00DB5399"/>
    <w:rsid w:val="00DB5B15"/>
    <w:rsid w:val="00DB6E06"/>
    <w:rsid w:val="00DC0417"/>
    <w:rsid w:val="00DC140E"/>
    <w:rsid w:val="00DC2C15"/>
    <w:rsid w:val="00DC3FFB"/>
    <w:rsid w:val="00DC43DB"/>
    <w:rsid w:val="00DC4605"/>
    <w:rsid w:val="00DC59FD"/>
    <w:rsid w:val="00DC6825"/>
    <w:rsid w:val="00DC6982"/>
    <w:rsid w:val="00DC6C73"/>
    <w:rsid w:val="00DC7371"/>
    <w:rsid w:val="00DC7A55"/>
    <w:rsid w:val="00DC7CC3"/>
    <w:rsid w:val="00DD0330"/>
    <w:rsid w:val="00DD0705"/>
    <w:rsid w:val="00DD22E6"/>
    <w:rsid w:val="00DD47AE"/>
    <w:rsid w:val="00DD4F0C"/>
    <w:rsid w:val="00DD7DD2"/>
    <w:rsid w:val="00DE0888"/>
    <w:rsid w:val="00DE0AA0"/>
    <w:rsid w:val="00DE165D"/>
    <w:rsid w:val="00DE205B"/>
    <w:rsid w:val="00DE2AEA"/>
    <w:rsid w:val="00DE2FDC"/>
    <w:rsid w:val="00DE3A6E"/>
    <w:rsid w:val="00DE489E"/>
    <w:rsid w:val="00DE5CEE"/>
    <w:rsid w:val="00DE64EA"/>
    <w:rsid w:val="00DE770F"/>
    <w:rsid w:val="00DE7A36"/>
    <w:rsid w:val="00DE7A9D"/>
    <w:rsid w:val="00DE7BA5"/>
    <w:rsid w:val="00DE7DA7"/>
    <w:rsid w:val="00DF0063"/>
    <w:rsid w:val="00DF0F4B"/>
    <w:rsid w:val="00DF3787"/>
    <w:rsid w:val="00DF39BF"/>
    <w:rsid w:val="00DF3B4C"/>
    <w:rsid w:val="00DF4DBE"/>
    <w:rsid w:val="00DF5800"/>
    <w:rsid w:val="00DF7101"/>
    <w:rsid w:val="00E006D6"/>
    <w:rsid w:val="00E00C01"/>
    <w:rsid w:val="00E01731"/>
    <w:rsid w:val="00E0199E"/>
    <w:rsid w:val="00E01B39"/>
    <w:rsid w:val="00E02A29"/>
    <w:rsid w:val="00E02CC2"/>
    <w:rsid w:val="00E036D3"/>
    <w:rsid w:val="00E03D5B"/>
    <w:rsid w:val="00E0555C"/>
    <w:rsid w:val="00E05ED5"/>
    <w:rsid w:val="00E061C3"/>
    <w:rsid w:val="00E11334"/>
    <w:rsid w:val="00E11489"/>
    <w:rsid w:val="00E11F46"/>
    <w:rsid w:val="00E13131"/>
    <w:rsid w:val="00E131C7"/>
    <w:rsid w:val="00E14527"/>
    <w:rsid w:val="00E14D0C"/>
    <w:rsid w:val="00E15484"/>
    <w:rsid w:val="00E156AB"/>
    <w:rsid w:val="00E167F6"/>
    <w:rsid w:val="00E220A9"/>
    <w:rsid w:val="00E22162"/>
    <w:rsid w:val="00E233B3"/>
    <w:rsid w:val="00E2554C"/>
    <w:rsid w:val="00E25579"/>
    <w:rsid w:val="00E26232"/>
    <w:rsid w:val="00E266C1"/>
    <w:rsid w:val="00E27598"/>
    <w:rsid w:val="00E303E5"/>
    <w:rsid w:val="00E303FB"/>
    <w:rsid w:val="00E306E0"/>
    <w:rsid w:val="00E307C9"/>
    <w:rsid w:val="00E309A8"/>
    <w:rsid w:val="00E30BB5"/>
    <w:rsid w:val="00E30C1E"/>
    <w:rsid w:val="00E30CCF"/>
    <w:rsid w:val="00E3117B"/>
    <w:rsid w:val="00E3231A"/>
    <w:rsid w:val="00E32963"/>
    <w:rsid w:val="00E34093"/>
    <w:rsid w:val="00E35CA1"/>
    <w:rsid w:val="00E36EE3"/>
    <w:rsid w:val="00E37ACB"/>
    <w:rsid w:val="00E43B23"/>
    <w:rsid w:val="00E43BFE"/>
    <w:rsid w:val="00E4415F"/>
    <w:rsid w:val="00E4416B"/>
    <w:rsid w:val="00E445A1"/>
    <w:rsid w:val="00E47447"/>
    <w:rsid w:val="00E5148B"/>
    <w:rsid w:val="00E516A6"/>
    <w:rsid w:val="00E5250E"/>
    <w:rsid w:val="00E54F75"/>
    <w:rsid w:val="00E5532D"/>
    <w:rsid w:val="00E55F22"/>
    <w:rsid w:val="00E60E59"/>
    <w:rsid w:val="00E620F2"/>
    <w:rsid w:val="00E621B4"/>
    <w:rsid w:val="00E6375D"/>
    <w:rsid w:val="00E63AE0"/>
    <w:rsid w:val="00E652B0"/>
    <w:rsid w:val="00E66151"/>
    <w:rsid w:val="00E662D6"/>
    <w:rsid w:val="00E66639"/>
    <w:rsid w:val="00E66AF7"/>
    <w:rsid w:val="00E675F1"/>
    <w:rsid w:val="00E67F1A"/>
    <w:rsid w:val="00E708E5"/>
    <w:rsid w:val="00E70A0C"/>
    <w:rsid w:val="00E71B6F"/>
    <w:rsid w:val="00E71F2C"/>
    <w:rsid w:val="00E7271F"/>
    <w:rsid w:val="00E73E0B"/>
    <w:rsid w:val="00E74053"/>
    <w:rsid w:val="00E74671"/>
    <w:rsid w:val="00E74ABD"/>
    <w:rsid w:val="00E755BC"/>
    <w:rsid w:val="00E76104"/>
    <w:rsid w:val="00E76BE5"/>
    <w:rsid w:val="00E77E1F"/>
    <w:rsid w:val="00E806AA"/>
    <w:rsid w:val="00E841BF"/>
    <w:rsid w:val="00E84919"/>
    <w:rsid w:val="00E861FA"/>
    <w:rsid w:val="00E86F11"/>
    <w:rsid w:val="00E874EE"/>
    <w:rsid w:val="00E8790B"/>
    <w:rsid w:val="00E87ADF"/>
    <w:rsid w:val="00E907B0"/>
    <w:rsid w:val="00E91950"/>
    <w:rsid w:val="00E91AE7"/>
    <w:rsid w:val="00E91F2F"/>
    <w:rsid w:val="00E92046"/>
    <w:rsid w:val="00E94E47"/>
    <w:rsid w:val="00E952DC"/>
    <w:rsid w:val="00E9651F"/>
    <w:rsid w:val="00E974A7"/>
    <w:rsid w:val="00E9766E"/>
    <w:rsid w:val="00EA03F1"/>
    <w:rsid w:val="00EA0D13"/>
    <w:rsid w:val="00EA10F4"/>
    <w:rsid w:val="00EA3847"/>
    <w:rsid w:val="00EA495E"/>
    <w:rsid w:val="00EA4BEB"/>
    <w:rsid w:val="00EA4CFE"/>
    <w:rsid w:val="00EA5ADB"/>
    <w:rsid w:val="00EA65CC"/>
    <w:rsid w:val="00EA6869"/>
    <w:rsid w:val="00EB0DA5"/>
    <w:rsid w:val="00EB193D"/>
    <w:rsid w:val="00EB262C"/>
    <w:rsid w:val="00EB3FB8"/>
    <w:rsid w:val="00EB461C"/>
    <w:rsid w:val="00EB49CF"/>
    <w:rsid w:val="00EB651C"/>
    <w:rsid w:val="00EC0021"/>
    <w:rsid w:val="00EC1A7F"/>
    <w:rsid w:val="00EC3635"/>
    <w:rsid w:val="00EC39C6"/>
    <w:rsid w:val="00EC7952"/>
    <w:rsid w:val="00EC7F7F"/>
    <w:rsid w:val="00ED0615"/>
    <w:rsid w:val="00ED0A65"/>
    <w:rsid w:val="00ED1310"/>
    <w:rsid w:val="00ED3A4B"/>
    <w:rsid w:val="00ED4309"/>
    <w:rsid w:val="00ED4E96"/>
    <w:rsid w:val="00ED6522"/>
    <w:rsid w:val="00ED66B4"/>
    <w:rsid w:val="00EE0636"/>
    <w:rsid w:val="00EE2688"/>
    <w:rsid w:val="00EE2728"/>
    <w:rsid w:val="00EE2D62"/>
    <w:rsid w:val="00EE342A"/>
    <w:rsid w:val="00EE48A1"/>
    <w:rsid w:val="00EE62F3"/>
    <w:rsid w:val="00EE6834"/>
    <w:rsid w:val="00EE6E94"/>
    <w:rsid w:val="00EE7178"/>
    <w:rsid w:val="00EE744C"/>
    <w:rsid w:val="00EE78C6"/>
    <w:rsid w:val="00EF05AF"/>
    <w:rsid w:val="00EF4FE9"/>
    <w:rsid w:val="00EF5390"/>
    <w:rsid w:val="00EF66DB"/>
    <w:rsid w:val="00EF6DE9"/>
    <w:rsid w:val="00EF7DA5"/>
    <w:rsid w:val="00EF7FAD"/>
    <w:rsid w:val="00F0022A"/>
    <w:rsid w:val="00F01727"/>
    <w:rsid w:val="00F0192A"/>
    <w:rsid w:val="00F029AB"/>
    <w:rsid w:val="00F02E85"/>
    <w:rsid w:val="00F037FA"/>
    <w:rsid w:val="00F049E5"/>
    <w:rsid w:val="00F0620E"/>
    <w:rsid w:val="00F068C7"/>
    <w:rsid w:val="00F11B72"/>
    <w:rsid w:val="00F1386D"/>
    <w:rsid w:val="00F14534"/>
    <w:rsid w:val="00F169DD"/>
    <w:rsid w:val="00F169E2"/>
    <w:rsid w:val="00F21AA0"/>
    <w:rsid w:val="00F223D5"/>
    <w:rsid w:val="00F232BB"/>
    <w:rsid w:val="00F23ED2"/>
    <w:rsid w:val="00F25523"/>
    <w:rsid w:val="00F25865"/>
    <w:rsid w:val="00F266A2"/>
    <w:rsid w:val="00F27593"/>
    <w:rsid w:val="00F300BB"/>
    <w:rsid w:val="00F308C8"/>
    <w:rsid w:val="00F3146E"/>
    <w:rsid w:val="00F31958"/>
    <w:rsid w:val="00F31DE2"/>
    <w:rsid w:val="00F331D7"/>
    <w:rsid w:val="00F3432B"/>
    <w:rsid w:val="00F36943"/>
    <w:rsid w:val="00F36E66"/>
    <w:rsid w:val="00F378C8"/>
    <w:rsid w:val="00F40139"/>
    <w:rsid w:val="00F412FA"/>
    <w:rsid w:val="00F41449"/>
    <w:rsid w:val="00F414F2"/>
    <w:rsid w:val="00F42F63"/>
    <w:rsid w:val="00F42FD2"/>
    <w:rsid w:val="00F4404B"/>
    <w:rsid w:val="00F45925"/>
    <w:rsid w:val="00F463CF"/>
    <w:rsid w:val="00F46640"/>
    <w:rsid w:val="00F46E9E"/>
    <w:rsid w:val="00F47CF7"/>
    <w:rsid w:val="00F5047F"/>
    <w:rsid w:val="00F536FB"/>
    <w:rsid w:val="00F55D87"/>
    <w:rsid w:val="00F5656E"/>
    <w:rsid w:val="00F5729A"/>
    <w:rsid w:val="00F60196"/>
    <w:rsid w:val="00F60960"/>
    <w:rsid w:val="00F61588"/>
    <w:rsid w:val="00F6171E"/>
    <w:rsid w:val="00F61C0D"/>
    <w:rsid w:val="00F634B9"/>
    <w:rsid w:val="00F6405F"/>
    <w:rsid w:val="00F65EC2"/>
    <w:rsid w:val="00F661C0"/>
    <w:rsid w:val="00F67375"/>
    <w:rsid w:val="00F674BB"/>
    <w:rsid w:val="00F67B9C"/>
    <w:rsid w:val="00F71F40"/>
    <w:rsid w:val="00F725AA"/>
    <w:rsid w:val="00F73BC5"/>
    <w:rsid w:val="00F73CB9"/>
    <w:rsid w:val="00F76228"/>
    <w:rsid w:val="00F80658"/>
    <w:rsid w:val="00F81103"/>
    <w:rsid w:val="00F8203B"/>
    <w:rsid w:val="00F82C99"/>
    <w:rsid w:val="00F83BBB"/>
    <w:rsid w:val="00F85070"/>
    <w:rsid w:val="00F87393"/>
    <w:rsid w:val="00F87DC3"/>
    <w:rsid w:val="00F916FB"/>
    <w:rsid w:val="00F91E49"/>
    <w:rsid w:val="00F921F5"/>
    <w:rsid w:val="00F92287"/>
    <w:rsid w:val="00F93474"/>
    <w:rsid w:val="00F93820"/>
    <w:rsid w:val="00F947C1"/>
    <w:rsid w:val="00F94D5A"/>
    <w:rsid w:val="00F95FBC"/>
    <w:rsid w:val="00F96A7E"/>
    <w:rsid w:val="00F97F80"/>
    <w:rsid w:val="00FA0687"/>
    <w:rsid w:val="00FA0A0F"/>
    <w:rsid w:val="00FA205B"/>
    <w:rsid w:val="00FA3224"/>
    <w:rsid w:val="00FA3F10"/>
    <w:rsid w:val="00FA4498"/>
    <w:rsid w:val="00FA5694"/>
    <w:rsid w:val="00FA5CED"/>
    <w:rsid w:val="00FA65B4"/>
    <w:rsid w:val="00FB015E"/>
    <w:rsid w:val="00FB0DF3"/>
    <w:rsid w:val="00FB1B33"/>
    <w:rsid w:val="00FB2743"/>
    <w:rsid w:val="00FB299F"/>
    <w:rsid w:val="00FB3353"/>
    <w:rsid w:val="00FB42B4"/>
    <w:rsid w:val="00FB5F75"/>
    <w:rsid w:val="00FB6A67"/>
    <w:rsid w:val="00FC093A"/>
    <w:rsid w:val="00FC2487"/>
    <w:rsid w:val="00FC2519"/>
    <w:rsid w:val="00FC2799"/>
    <w:rsid w:val="00FC3458"/>
    <w:rsid w:val="00FC3F3E"/>
    <w:rsid w:val="00FC3F4B"/>
    <w:rsid w:val="00FC412D"/>
    <w:rsid w:val="00FC42D0"/>
    <w:rsid w:val="00FC4B88"/>
    <w:rsid w:val="00FC4F4F"/>
    <w:rsid w:val="00FC5C4C"/>
    <w:rsid w:val="00FC7124"/>
    <w:rsid w:val="00FC7726"/>
    <w:rsid w:val="00FC7F0B"/>
    <w:rsid w:val="00FC7FF6"/>
    <w:rsid w:val="00FD23EE"/>
    <w:rsid w:val="00FD2E51"/>
    <w:rsid w:val="00FD3435"/>
    <w:rsid w:val="00FD5043"/>
    <w:rsid w:val="00FD5325"/>
    <w:rsid w:val="00FD5667"/>
    <w:rsid w:val="00FD5934"/>
    <w:rsid w:val="00FD64E2"/>
    <w:rsid w:val="00FD7FDD"/>
    <w:rsid w:val="00FE3176"/>
    <w:rsid w:val="00FE3A90"/>
    <w:rsid w:val="00FE3CE5"/>
    <w:rsid w:val="00FE5CB4"/>
    <w:rsid w:val="00FE7B1A"/>
    <w:rsid w:val="00FF0E2F"/>
    <w:rsid w:val="00FF184B"/>
    <w:rsid w:val="00FF3528"/>
    <w:rsid w:val="00FF422E"/>
    <w:rsid w:val="00FF54CB"/>
    <w:rsid w:val="00FF606F"/>
    <w:rsid w:val="00FF71E9"/>
    <w:rsid w:val="00FF75FB"/>
    <w:rsid w:val="00FF7D45"/>
    <w:rsid w:val="01D594B8"/>
    <w:rsid w:val="08DD1E8B"/>
    <w:rsid w:val="0E8D76E2"/>
    <w:rsid w:val="132F2CD7"/>
    <w:rsid w:val="143A5A29"/>
    <w:rsid w:val="1795BE1A"/>
    <w:rsid w:val="1F01E365"/>
    <w:rsid w:val="254E651C"/>
    <w:rsid w:val="3FB73E5A"/>
    <w:rsid w:val="49675BD2"/>
    <w:rsid w:val="4DF4157F"/>
    <w:rsid w:val="59C8E57D"/>
    <w:rsid w:val="60D33CC6"/>
    <w:rsid w:val="6F9A4702"/>
    <w:rsid w:val="72CD9B1B"/>
    <w:rsid w:val="77A45D4B"/>
    <w:rsid w:val="7D5B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339"/>
  <w15:chartTrackingRefBased/>
  <w15:docId w15:val="{C8DBCE77-D8BA-4D26-8A95-10268F3E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8B0"/>
    <w:rPr>
      <w:color w:val="0563C1" w:themeColor="hyperlink"/>
      <w:u w:val="single"/>
    </w:rPr>
  </w:style>
  <w:style w:type="character" w:styleId="UnresolvedMention">
    <w:name w:val="Unresolved Mention"/>
    <w:basedOn w:val="DefaultParagraphFont"/>
    <w:uiPriority w:val="99"/>
    <w:semiHidden/>
    <w:unhideWhenUsed/>
    <w:rsid w:val="006E58B0"/>
    <w:rPr>
      <w:color w:val="605E5C"/>
      <w:shd w:val="clear" w:color="auto" w:fill="E1DFDD"/>
    </w:rPr>
  </w:style>
  <w:style w:type="paragraph" w:styleId="NormalWeb">
    <w:name w:val="Normal (Web)"/>
    <w:basedOn w:val="Normal"/>
    <w:uiPriority w:val="99"/>
    <w:unhideWhenUsed/>
    <w:rsid w:val="004B6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F44"/>
    <w:rPr>
      <w:b/>
      <w:bCs/>
    </w:rPr>
  </w:style>
  <w:style w:type="character" w:customStyle="1" w:styleId="Heading1Char">
    <w:name w:val="Heading 1 Char"/>
    <w:basedOn w:val="DefaultParagraphFont"/>
    <w:link w:val="Heading1"/>
    <w:uiPriority w:val="9"/>
    <w:rsid w:val="00133F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0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8A"/>
  </w:style>
  <w:style w:type="paragraph" w:styleId="Footer">
    <w:name w:val="footer"/>
    <w:basedOn w:val="Normal"/>
    <w:link w:val="FooterChar"/>
    <w:uiPriority w:val="99"/>
    <w:unhideWhenUsed/>
    <w:rsid w:val="0070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8A"/>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1C6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78"/>
    <w:rPr>
      <w:sz w:val="20"/>
      <w:szCs w:val="20"/>
    </w:rPr>
  </w:style>
  <w:style w:type="character" w:styleId="FootnoteReference">
    <w:name w:val="footnote reference"/>
    <w:basedOn w:val="DefaultParagraphFont"/>
    <w:uiPriority w:val="99"/>
    <w:semiHidden/>
    <w:unhideWhenUsed/>
    <w:rsid w:val="001C6178"/>
    <w:rPr>
      <w:vertAlign w:val="superscript"/>
    </w:rPr>
  </w:style>
  <w:style w:type="table" w:styleId="TableGrid">
    <w:name w:val="Table Grid"/>
    <w:basedOn w:val="TableNormal"/>
    <w:rsid w:val="00854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F6"/>
    <w:rPr>
      <w:rFonts w:ascii="Segoe UI" w:hAnsi="Segoe UI" w:cs="Segoe UI"/>
      <w:sz w:val="18"/>
      <w:szCs w:val="18"/>
    </w:rPr>
  </w:style>
  <w:style w:type="character" w:styleId="FollowedHyperlink">
    <w:name w:val="FollowedHyperlink"/>
    <w:basedOn w:val="DefaultParagraphFont"/>
    <w:uiPriority w:val="99"/>
    <w:semiHidden/>
    <w:unhideWhenUsed/>
    <w:rsid w:val="00195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74">
      <w:bodyDiv w:val="1"/>
      <w:marLeft w:val="0"/>
      <w:marRight w:val="0"/>
      <w:marTop w:val="0"/>
      <w:marBottom w:val="0"/>
      <w:divBdr>
        <w:top w:val="none" w:sz="0" w:space="0" w:color="auto"/>
        <w:left w:val="none" w:sz="0" w:space="0" w:color="auto"/>
        <w:bottom w:val="none" w:sz="0" w:space="0" w:color="auto"/>
        <w:right w:val="none" w:sz="0" w:space="0" w:color="auto"/>
      </w:divBdr>
    </w:div>
    <w:div w:id="414670037">
      <w:bodyDiv w:val="1"/>
      <w:marLeft w:val="0"/>
      <w:marRight w:val="0"/>
      <w:marTop w:val="0"/>
      <w:marBottom w:val="0"/>
      <w:divBdr>
        <w:top w:val="none" w:sz="0" w:space="0" w:color="auto"/>
        <w:left w:val="none" w:sz="0" w:space="0" w:color="auto"/>
        <w:bottom w:val="none" w:sz="0" w:space="0" w:color="auto"/>
        <w:right w:val="none" w:sz="0" w:space="0" w:color="auto"/>
      </w:divBdr>
    </w:div>
    <w:div w:id="746147820">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ocialdemocraticfuture.org" TargetMode="External"/><Relationship Id="rId13" Type="http://schemas.openxmlformats.org/officeDocument/2006/relationships/hyperlink" Target="https://d.docs.live.net/02d944495d4a7cbd/Latest/Appendix%201%20Making%20Investment%20Smart.xlsx" TargetMode="External"/><Relationship Id="rId18" Type="http://schemas.openxmlformats.org/officeDocument/2006/relationships/hyperlink" Target="https://www.nic.org.uk/wp-content/uploads/NIC-Annual-Monitoring-Report-201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ocialdemocraticfuture.org" TargetMode="External"/><Relationship Id="rId17" Type="http://schemas.openxmlformats.org/officeDocument/2006/relationships/hyperlink" Target="https://www.nic.org.uk/wp-content/uploads/CCS001_CCS0618917350-001_NIC-NIA_Accessibl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71097/Fiscal_Remit_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infrastructure-finance-review"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9269/NIC_charter_6_final.pdf" TargetMode="External"/><Relationship Id="rId10" Type="http://schemas.openxmlformats.org/officeDocument/2006/relationships/hyperlink" Target="https://assets.publishing.service.gov.uk/government/uploads/system/uploads/attachment_data/file/752173/PF2_web_.pdf" TargetMode="External"/><Relationship Id="rId19" Type="http://schemas.openxmlformats.org/officeDocument/2006/relationships/hyperlink" Target="https://www.nao.org.uk/wp-content/uploads/2018/01/PFI-and-PF2.pdf" TargetMode="External"/><Relationship Id="rId4" Type="http://schemas.openxmlformats.org/officeDocument/2006/relationships/settings" Target="settings.xml"/><Relationship Id="rId9" Type="http://schemas.openxmlformats.org/officeDocument/2006/relationships/hyperlink" Target="mailto:asocialdemocraticfuture@outlook.com" TargetMode="External"/><Relationship Id="rId14" Type="http://schemas.openxmlformats.org/officeDocument/2006/relationships/hyperlink" Target="https://www.gov.uk/government/publications/national-infrastructure-and-construction-pipeline-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FB56-48A8-4818-954A-A10371DD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37</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Newton</dc:creator>
  <cp:keywords/>
  <dc:description/>
  <cp:lastModifiedBy>John Newton</cp:lastModifiedBy>
  <cp:revision>1477</cp:revision>
  <cp:lastPrinted>2019-06-04T21:58:00Z</cp:lastPrinted>
  <dcterms:created xsi:type="dcterms:W3CDTF">2019-05-30T22:58:00Z</dcterms:created>
  <dcterms:modified xsi:type="dcterms:W3CDTF">2019-06-09T22:19:00Z</dcterms:modified>
</cp:coreProperties>
</file>