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FE79" w14:textId="6AD3C070" w:rsidR="00D06E8D" w:rsidRDefault="00D06E8D"/>
    <w:p w14:paraId="51BB39B2" w14:textId="20612E0F" w:rsidR="00D06E8D" w:rsidRPr="00D06E8D" w:rsidRDefault="00D06E8D" w:rsidP="00D06E8D">
      <w:pPr>
        <w:spacing w:after="390" w:line="240" w:lineRule="auto"/>
        <w:ind w:left="720" w:hanging="720"/>
        <w:jc w:val="center"/>
        <w:rPr>
          <w:rFonts w:ascii="Arial" w:hAnsi="Arial"/>
          <w:b/>
          <w:bCs/>
          <w:sz w:val="24"/>
          <w:szCs w:val="24"/>
        </w:rPr>
      </w:pPr>
      <w:r w:rsidRPr="00D06E8D">
        <w:rPr>
          <w:rFonts w:ascii="Arial" w:hAnsi="Arial"/>
          <w:b/>
          <w:bCs/>
          <w:sz w:val="24"/>
          <w:szCs w:val="24"/>
        </w:rPr>
        <w:t>MAKING PUBLIC INVESTMENT SMART:  RECOMMENDATIONS</w:t>
      </w:r>
    </w:p>
    <w:p w14:paraId="401857BE" w14:textId="11179BA8" w:rsidR="00D06E8D" w:rsidRPr="00CA217C" w:rsidRDefault="00D06E8D" w:rsidP="00D06E8D">
      <w:pPr>
        <w:spacing w:after="390" w:line="240" w:lineRule="auto"/>
        <w:ind w:left="720" w:hanging="720"/>
        <w:rPr>
          <w:rFonts w:ascii="Arial" w:hAnsi="Arial"/>
          <w:sz w:val="24"/>
          <w:szCs w:val="24"/>
        </w:rPr>
      </w:pPr>
      <w:r>
        <w:rPr>
          <w:rFonts w:ascii="Arial" w:hAnsi="Arial"/>
          <w:sz w:val="24"/>
          <w:szCs w:val="24"/>
        </w:rPr>
        <w:t>1</w:t>
      </w:r>
      <w:r>
        <w:rPr>
          <w:rFonts w:ascii="Arial" w:hAnsi="Arial"/>
          <w:sz w:val="24"/>
          <w:szCs w:val="24"/>
        </w:rPr>
        <w:tab/>
        <w:t>T</w:t>
      </w:r>
      <w:r w:rsidRPr="00CA217C">
        <w:rPr>
          <w:rFonts w:ascii="Arial" w:hAnsi="Arial"/>
          <w:sz w:val="24"/>
          <w:szCs w:val="24"/>
        </w:rPr>
        <w:t xml:space="preserve">he 2019 </w:t>
      </w:r>
      <w:r>
        <w:rPr>
          <w:rFonts w:ascii="Arial" w:hAnsi="Arial"/>
          <w:sz w:val="24"/>
          <w:szCs w:val="24"/>
        </w:rPr>
        <w:t>Spending Review (</w:t>
      </w:r>
      <w:r w:rsidRPr="00E47447">
        <w:rPr>
          <w:rFonts w:ascii="Arial" w:hAnsi="Arial"/>
          <w:i/>
          <w:iCs/>
          <w:sz w:val="24"/>
          <w:szCs w:val="24"/>
        </w:rPr>
        <w:t>2019SR</w:t>
      </w:r>
      <w:r>
        <w:rPr>
          <w:rFonts w:ascii="Arial" w:hAnsi="Arial"/>
          <w:sz w:val="24"/>
          <w:szCs w:val="24"/>
        </w:rPr>
        <w:t>)</w:t>
      </w:r>
      <w:r w:rsidRPr="00CA217C">
        <w:rPr>
          <w:rFonts w:ascii="Arial" w:hAnsi="Arial"/>
          <w:sz w:val="24"/>
          <w:szCs w:val="24"/>
        </w:rPr>
        <w:t xml:space="preserve"> should increase the NIC’s current Fiscal Remit</w:t>
      </w:r>
      <w:r>
        <w:rPr>
          <w:rFonts w:ascii="Arial" w:hAnsi="Arial"/>
          <w:sz w:val="24"/>
          <w:szCs w:val="24"/>
        </w:rPr>
        <w:t xml:space="preserve"> funding envelope and </w:t>
      </w:r>
      <w:r w:rsidRPr="00CA217C">
        <w:rPr>
          <w:rFonts w:ascii="Arial" w:hAnsi="Arial"/>
          <w:sz w:val="24"/>
          <w:szCs w:val="24"/>
        </w:rPr>
        <w:t>disentangle</w:t>
      </w:r>
      <w:r>
        <w:rPr>
          <w:rFonts w:ascii="Arial" w:hAnsi="Arial"/>
          <w:sz w:val="24"/>
          <w:szCs w:val="24"/>
        </w:rPr>
        <w:t xml:space="preserve"> it</w:t>
      </w:r>
      <w:r w:rsidRPr="00CA217C">
        <w:rPr>
          <w:rFonts w:ascii="Arial" w:hAnsi="Arial"/>
          <w:sz w:val="24"/>
          <w:szCs w:val="24"/>
        </w:rPr>
        <w:t xml:space="preserve"> from unitary cash-based fiscal targets</w:t>
      </w:r>
      <w:r>
        <w:rPr>
          <w:rFonts w:ascii="Arial" w:hAnsi="Arial"/>
          <w:sz w:val="24"/>
          <w:szCs w:val="24"/>
        </w:rPr>
        <w:t xml:space="preserve">, in accordance with </w:t>
      </w:r>
      <w:r w:rsidRPr="007015DE">
        <w:rPr>
          <w:rFonts w:ascii="Arial" w:hAnsi="Arial"/>
          <w:i/>
          <w:iCs/>
          <w:sz w:val="24"/>
          <w:szCs w:val="24"/>
        </w:rPr>
        <w:t>recommendations 4 and 5 below</w:t>
      </w:r>
      <w:r w:rsidRPr="00CA217C">
        <w:rPr>
          <w:rFonts w:ascii="Arial" w:hAnsi="Arial"/>
          <w:sz w:val="24"/>
          <w:szCs w:val="24"/>
        </w:rPr>
        <w:t>.</w:t>
      </w:r>
    </w:p>
    <w:p w14:paraId="00EAF117" w14:textId="77777777" w:rsidR="00D06E8D" w:rsidRDefault="00D06E8D" w:rsidP="00D06E8D">
      <w:pPr>
        <w:spacing w:after="390" w:line="240" w:lineRule="auto"/>
        <w:ind w:left="720" w:hanging="720"/>
        <w:rPr>
          <w:rFonts w:ascii="Arial" w:hAnsi="Arial"/>
          <w:sz w:val="24"/>
          <w:szCs w:val="24"/>
        </w:rPr>
      </w:pPr>
      <w:r>
        <w:rPr>
          <w:rFonts w:ascii="Arial" w:hAnsi="Arial"/>
          <w:sz w:val="24"/>
          <w:szCs w:val="24"/>
        </w:rPr>
        <w:t>2.</w:t>
      </w:r>
      <w:r>
        <w:rPr>
          <w:rFonts w:ascii="Arial" w:hAnsi="Arial"/>
          <w:sz w:val="24"/>
          <w:szCs w:val="24"/>
        </w:rPr>
        <w:tab/>
        <w:t>T</w:t>
      </w:r>
      <w:r w:rsidRPr="00CA217C">
        <w:rPr>
          <w:rFonts w:ascii="Arial" w:hAnsi="Arial"/>
          <w:sz w:val="24"/>
          <w:szCs w:val="24"/>
        </w:rPr>
        <w:t>he NIC</w:t>
      </w:r>
      <w:r>
        <w:rPr>
          <w:rFonts w:ascii="Arial" w:hAnsi="Arial"/>
          <w:sz w:val="24"/>
          <w:szCs w:val="24"/>
        </w:rPr>
        <w:t xml:space="preserve"> should provide </w:t>
      </w:r>
      <w:r w:rsidRPr="00CA217C">
        <w:rPr>
          <w:rFonts w:ascii="Arial" w:hAnsi="Arial"/>
          <w:sz w:val="24"/>
          <w:szCs w:val="24"/>
        </w:rPr>
        <w:t xml:space="preserve">evidenced assessment of the future volume need for public investment and its sequencing to the Treasury. </w:t>
      </w:r>
    </w:p>
    <w:p w14:paraId="502FA365" w14:textId="77777777" w:rsidR="00D06E8D" w:rsidRPr="00257AFB" w:rsidRDefault="00D06E8D" w:rsidP="00D06E8D">
      <w:pPr>
        <w:spacing w:after="39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3.</w:t>
      </w:r>
      <w:r>
        <w:rPr>
          <w:rFonts w:ascii="Arial" w:eastAsia="Times New Roman" w:hAnsi="Arial" w:cs="Arial"/>
          <w:sz w:val="24"/>
          <w:szCs w:val="24"/>
          <w:lang w:val="en-GB" w:eastAsia="en-GB"/>
        </w:rPr>
        <w:tab/>
        <w:t>A</w:t>
      </w:r>
      <w:r w:rsidRPr="006F7DA3">
        <w:rPr>
          <w:rFonts w:ascii="Arial" w:eastAsia="Times New Roman" w:hAnsi="Arial" w:cs="Arial"/>
          <w:sz w:val="24"/>
          <w:szCs w:val="24"/>
          <w:lang w:val="en-GB" w:eastAsia="en-GB"/>
        </w:rPr>
        <w:t xml:space="preserve"> reformed fiscal rule framework should put public procurement and PPP’s on a </w:t>
      </w:r>
      <w:r>
        <w:rPr>
          <w:rFonts w:ascii="Arial" w:eastAsia="Times New Roman" w:hAnsi="Arial" w:cs="Arial"/>
          <w:sz w:val="24"/>
          <w:szCs w:val="24"/>
          <w:lang w:val="en-GB" w:eastAsia="en-GB"/>
        </w:rPr>
        <w:tab/>
        <w:t>l</w:t>
      </w:r>
      <w:r w:rsidRPr="006F7DA3">
        <w:rPr>
          <w:rFonts w:ascii="Arial" w:eastAsia="Times New Roman" w:hAnsi="Arial" w:cs="Arial"/>
          <w:sz w:val="24"/>
          <w:szCs w:val="24"/>
          <w:lang w:val="en-GB" w:eastAsia="en-GB"/>
        </w:rPr>
        <w:t>evel playing field.</w:t>
      </w:r>
      <w:r>
        <w:rPr>
          <w:rFonts w:ascii="Arial" w:eastAsia="Times New Roman" w:hAnsi="Arial" w:cs="Arial"/>
          <w:sz w:val="24"/>
          <w:szCs w:val="24"/>
          <w:lang w:val="en-GB" w:eastAsia="en-GB"/>
        </w:rPr>
        <w:t xml:space="preserve"> </w:t>
      </w:r>
      <w:r w:rsidRPr="003867B4">
        <w:rPr>
          <w:rFonts w:ascii="Arial" w:eastAsia="Times New Roman" w:hAnsi="Arial" w:cs="Arial"/>
          <w:sz w:val="24"/>
          <w:szCs w:val="24"/>
          <w:u w:val="single"/>
          <w:lang w:val="en-GB" w:eastAsia="en-GB"/>
        </w:rPr>
        <w:t>Consistent with that</w:t>
      </w:r>
      <w:r>
        <w:rPr>
          <w:rFonts w:ascii="Arial" w:eastAsia="Times New Roman" w:hAnsi="Arial" w:cs="Arial"/>
          <w:sz w:val="24"/>
          <w:szCs w:val="24"/>
          <w:lang w:val="en-GB" w:eastAsia="en-GB"/>
        </w:rPr>
        <w:t>:</w:t>
      </w:r>
      <w:bookmarkStart w:id="0" w:name="_GoBack"/>
      <w:bookmarkEnd w:id="0"/>
    </w:p>
    <w:p w14:paraId="4E9C41B1" w14:textId="77777777" w:rsidR="00D06E8D" w:rsidRDefault="00D06E8D" w:rsidP="00D06E8D">
      <w:pPr>
        <w:spacing w:after="0" w:line="240" w:lineRule="auto"/>
        <w:ind w:left="720" w:hanging="720"/>
        <w:rPr>
          <w:rFonts w:ascii="Arial" w:eastAsia="Times New Roman" w:hAnsi="Arial" w:cs="Arial"/>
          <w:sz w:val="24"/>
          <w:szCs w:val="24"/>
          <w:lang w:val="en-GB" w:eastAsia="en-GB"/>
        </w:rPr>
      </w:pPr>
      <w:r>
        <w:rPr>
          <w:rFonts w:ascii="Arial" w:eastAsia="Times New Roman" w:hAnsi="Arial" w:cs="Arial"/>
          <w:sz w:val="24"/>
          <w:szCs w:val="24"/>
          <w:lang w:val="en-GB" w:eastAsia="en-GB"/>
        </w:rPr>
        <w:t>4.</w:t>
      </w:r>
      <w:r>
        <w:rPr>
          <w:rFonts w:ascii="Arial" w:eastAsia="Times New Roman" w:hAnsi="Arial" w:cs="Arial"/>
          <w:sz w:val="24"/>
          <w:szCs w:val="24"/>
          <w:lang w:val="en-GB" w:eastAsia="en-GB"/>
        </w:rPr>
        <w:tab/>
      </w:r>
      <w:r w:rsidRPr="00257AFB">
        <w:rPr>
          <w:rFonts w:ascii="Arial" w:eastAsia="Times New Roman" w:hAnsi="Arial" w:cs="Arial"/>
          <w:sz w:val="24"/>
          <w:szCs w:val="24"/>
          <w:lang w:val="en-GB" w:eastAsia="en-GB"/>
        </w:rPr>
        <w:t>Capital spending on both conventional and PPP’s should be freed from year-to-year financial cash-limits, but their modelled future revenue liabilities included in future government debt projections used to assess future debt sustainability.</w:t>
      </w:r>
    </w:p>
    <w:p w14:paraId="5B910D19" w14:textId="77777777" w:rsidR="00D06E8D" w:rsidRDefault="00D06E8D" w:rsidP="00D06E8D">
      <w:pPr>
        <w:spacing w:after="0" w:line="240" w:lineRule="auto"/>
        <w:rPr>
          <w:rFonts w:ascii="Arial" w:eastAsia="Times New Roman" w:hAnsi="Arial" w:cs="Arial"/>
          <w:sz w:val="24"/>
          <w:szCs w:val="24"/>
          <w:lang w:val="en-GB" w:eastAsia="en-GB"/>
        </w:rPr>
      </w:pPr>
    </w:p>
    <w:p w14:paraId="66B06434" w14:textId="77777777" w:rsidR="00D06E8D" w:rsidRDefault="00D06E8D" w:rsidP="00D06E8D">
      <w:pPr>
        <w:spacing w:after="0" w:line="240" w:lineRule="auto"/>
        <w:ind w:left="720" w:hanging="720"/>
        <w:rPr>
          <w:rFonts w:ascii="Arial" w:eastAsia="Times New Roman" w:hAnsi="Arial" w:cs="Arial"/>
          <w:sz w:val="24"/>
          <w:szCs w:val="24"/>
          <w:lang w:val="en-GB" w:eastAsia="en-GB"/>
        </w:rPr>
      </w:pPr>
      <w:r>
        <w:rPr>
          <w:rFonts w:ascii="Arial" w:eastAsia="Times New Roman" w:hAnsi="Arial" w:cs="Arial"/>
          <w:sz w:val="24"/>
          <w:szCs w:val="24"/>
          <w:lang w:val="en-GB" w:eastAsia="en-GB"/>
        </w:rPr>
        <w:t>5.</w:t>
      </w:r>
      <w:r>
        <w:rPr>
          <w:rFonts w:ascii="Arial" w:eastAsia="Times New Roman" w:hAnsi="Arial" w:cs="Arial"/>
          <w:sz w:val="24"/>
          <w:szCs w:val="24"/>
          <w:lang w:val="en-GB" w:eastAsia="en-GB"/>
        </w:rPr>
        <w:tab/>
      </w:r>
      <w:r w:rsidRPr="00257AFB">
        <w:rPr>
          <w:rFonts w:ascii="Arial" w:eastAsia="Times New Roman" w:hAnsi="Arial" w:cs="Arial"/>
          <w:sz w:val="24"/>
          <w:szCs w:val="24"/>
          <w:lang w:val="en-GB" w:eastAsia="en-GB"/>
        </w:rPr>
        <w:t xml:space="preserve">The choice of procurement route </w:t>
      </w:r>
      <w:r>
        <w:rPr>
          <w:rFonts w:ascii="Arial" w:eastAsia="Times New Roman" w:hAnsi="Arial" w:cs="Arial"/>
          <w:sz w:val="24"/>
          <w:szCs w:val="24"/>
          <w:lang w:val="en-GB" w:eastAsia="en-GB"/>
        </w:rPr>
        <w:t xml:space="preserve">for publicly-supported procurements </w:t>
      </w:r>
      <w:r w:rsidRPr="00257AFB">
        <w:rPr>
          <w:rFonts w:ascii="Arial" w:eastAsia="Times New Roman" w:hAnsi="Arial" w:cs="Arial"/>
          <w:sz w:val="24"/>
          <w:szCs w:val="24"/>
          <w:lang w:val="en-GB" w:eastAsia="en-GB"/>
        </w:rPr>
        <w:t>should strictly and wholly be</w:t>
      </w:r>
      <w:r>
        <w:rPr>
          <w:rFonts w:ascii="Arial" w:eastAsia="Times New Roman" w:hAnsi="Arial" w:cs="Arial"/>
          <w:sz w:val="24"/>
          <w:szCs w:val="24"/>
          <w:lang w:val="en-GB" w:eastAsia="en-GB"/>
        </w:rPr>
        <w:t xml:space="preserve"> determined by </w:t>
      </w:r>
      <w:r w:rsidRPr="00257AFB">
        <w:rPr>
          <w:rFonts w:ascii="Arial" w:eastAsia="Times New Roman" w:hAnsi="Arial" w:cs="Arial"/>
          <w:sz w:val="24"/>
          <w:szCs w:val="24"/>
          <w:lang w:val="en-GB" w:eastAsia="en-GB"/>
        </w:rPr>
        <w:t>relative whole-life project efficiency</w:t>
      </w:r>
      <w:r>
        <w:rPr>
          <w:rFonts w:ascii="Arial" w:eastAsia="Times New Roman" w:hAnsi="Arial" w:cs="Arial"/>
          <w:sz w:val="24"/>
          <w:szCs w:val="24"/>
          <w:lang w:val="en-GB" w:eastAsia="en-GB"/>
        </w:rPr>
        <w:t>; the NIC and IPA should ensure that business cases, options appraisals, and contract documentation should reflect that requirement, through the development of standardised documentation, project audits, and wider assurance activity.</w:t>
      </w:r>
      <w:r w:rsidRPr="00257AFB">
        <w:rPr>
          <w:rFonts w:ascii="Arial" w:eastAsia="Times New Roman" w:hAnsi="Arial" w:cs="Arial"/>
          <w:sz w:val="24"/>
          <w:szCs w:val="24"/>
          <w:lang w:val="en-GB" w:eastAsia="en-GB"/>
        </w:rPr>
        <w:t xml:space="preserve"> </w:t>
      </w:r>
    </w:p>
    <w:p w14:paraId="327D58FD" w14:textId="77777777" w:rsidR="00D06E8D" w:rsidRDefault="00D06E8D" w:rsidP="00D06E8D">
      <w:pPr>
        <w:spacing w:after="390" w:line="240" w:lineRule="auto"/>
        <w:ind w:left="720" w:hanging="720"/>
        <w:rPr>
          <w:rFonts w:ascii="Arial" w:hAnsi="Arial"/>
          <w:sz w:val="24"/>
          <w:szCs w:val="24"/>
        </w:rPr>
      </w:pPr>
    </w:p>
    <w:p w14:paraId="0C0A6A68" w14:textId="0FA47085" w:rsidR="00D06E8D" w:rsidRPr="00CA217C" w:rsidRDefault="00D06E8D" w:rsidP="00D06E8D">
      <w:pPr>
        <w:spacing w:after="390" w:line="240" w:lineRule="auto"/>
        <w:ind w:left="720" w:hanging="720"/>
        <w:rPr>
          <w:rFonts w:ascii="Arial" w:hAnsi="Arial"/>
          <w:sz w:val="24"/>
          <w:szCs w:val="24"/>
        </w:rPr>
      </w:pPr>
      <w:r>
        <w:rPr>
          <w:rFonts w:ascii="Arial" w:hAnsi="Arial"/>
          <w:sz w:val="24"/>
          <w:szCs w:val="24"/>
        </w:rPr>
        <w:t>6</w:t>
      </w:r>
      <w:r>
        <w:rPr>
          <w:rFonts w:ascii="Arial" w:hAnsi="Arial"/>
          <w:sz w:val="24"/>
          <w:szCs w:val="24"/>
        </w:rPr>
        <w:tab/>
        <w:t xml:space="preserve">The NIC should </w:t>
      </w:r>
      <w:r w:rsidRPr="00CA217C">
        <w:rPr>
          <w:rFonts w:ascii="Arial" w:hAnsi="Arial"/>
          <w:sz w:val="24"/>
          <w:szCs w:val="24"/>
        </w:rPr>
        <w:t>assist each government department to publish an annual Departmental Investment Plan (DIP).</w:t>
      </w:r>
    </w:p>
    <w:p w14:paraId="06A0E1AA" w14:textId="77777777" w:rsidR="00D06E8D" w:rsidRDefault="00D06E8D" w:rsidP="00D06E8D">
      <w:pPr>
        <w:spacing w:after="390" w:line="240" w:lineRule="auto"/>
        <w:ind w:left="720" w:hanging="720"/>
        <w:rPr>
          <w:rFonts w:ascii="Arial" w:hAnsi="Arial"/>
          <w:sz w:val="24"/>
          <w:szCs w:val="24"/>
        </w:rPr>
      </w:pPr>
      <w:r>
        <w:rPr>
          <w:rFonts w:ascii="Arial" w:hAnsi="Arial"/>
          <w:sz w:val="24"/>
          <w:szCs w:val="24"/>
        </w:rPr>
        <w:t>7.</w:t>
      </w:r>
      <w:r>
        <w:rPr>
          <w:rFonts w:ascii="Arial" w:hAnsi="Arial"/>
          <w:sz w:val="24"/>
          <w:szCs w:val="24"/>
        </w:rPr>
        <w:tab/>
      </w:r>
      <w:r w:rsidRPr="00CA217C">
        <w:rPr>
          <w:rFonts w:ascii="Arial" w:hAnsi="Arial"/>
          <w:sz w:val="24"/>
          <w:szCs w:val="24"/>
        </w:rPr>
        <w:t xml:space="preserve">Each DIP should </w:t>
      </w:r>
      <w:proofErr w:type="spellStart"/>
      <w:r w:rsidRPr="00CA217C">
        <w:rPr>
          <w:rFonts w:ascii="Arial" w:hAnsi="Arial"/>
          <w:sz w:val="24"/>
          <w:szCs w:val="24"/>
        </w:rPr>
        <w:t>prioritise</w:t>
      </w:r>
      <w:proofErr w:type="spellEnd"/>
      <w:r w:rsidRPr="00CA217C">
        <w:rPr>
          <w:rFonts w:ascii="Arial" w:hAnsi="Arial"/>
          <w:sz w:val="24"/>
          <w:szCs w:val="24"/>
        </w:rPr>
        <w:t xml:space="preserve"> projects according to their estimated economic and social return, incorporating auditable information on the methodology applied to rank projects according to their expected</w:t>
      </w:r>
      <w:r>
        <w:rPr>
          <w:rFonts w:ascii="Arial" w:hAnsi="Arial"/>
          <w:sz w:val="24"/>
          <w:szCs w:val="24"/>
        </w:rPr>
        <w:t xml:space="preserve"> whole project-life</w:t>
      </w:r>
      <w:r w:rsidRPr="00CA217C">
        <w:rPr>
          <w:rFonts w:ascii="Arial" w:hAnsi="Arial"/>
          <w:sz w:val="24"/>
          <w:szCs w:val="24"/>
        </w:rPr>
        <w:t xml:space="preserve"> return.</w:t>
      </w:r>
    </w:p>
    <w:p w14:paraId="67BD85DA" w14:textId="77777777" w:rsidR="00D06E8D" w:rsidRPr="00CA217C" w:rsidRDefault="00D06E8D" w:rsidP="00D06E8D">
      <w:pPr>
        <w:spacing w:after="390" w:line="240" w:lineRule="auto"/>
        <w:ind w:left="720" w:hanging="720"/>
        <w:rPr>
          <w:rFonts w:ascii="Arial" w:hAnsi="Arial"/>
          <w:sz w:val="24"/>
          <w:szCs w:val="24"/>
        </w:rPr>
      </w:pPr>
      <w:r>
        <w:rPr>
          <w:rFonts w:ascii="Arial" w:hAnsi="Arial"/>
          <w:sz w:val="24"/>
          <w:szCs w:val="24"/>
        </w:rPr>
        <w:t>8.</w:t>
      </w:r>
      <w:r>
        <w:rPr>
          <w:rFonts w:ascii="Arial" w:hAnsi="Arial"/>
          <w:sz w:val="24"/>
          <w:szCs w:val="24"/>
        </w:rPr>
        <w:tab/>
        <w:t>The IPA should be specifically t</w:t>
      </w:r>
      <w:r w:rsidRPr="00CA217C">
        <w:rPr>
          <w:rFonts w:ascii="Arial" w:hAnsi="Arial"/>
          <w:sz w:val="24"/>
          <w:szCs w:val="24"/>
        </w:rPr>
        <w:t xml:space="preserve">asked and resourced to expand the pool of personnel skilled and experienced enough to conduct the project appraisals underpinning </w:t>
      </w:r>
      <w:r>
        <w:rPr>
          <w:rFonts w:ascii="Arial" w:hAnsi="Arial"/>
          <w:sz w:val="24"/>
          <w:szCs w:val="24"/>
        </w:rPr>
        <w:t>DIP’s</w:t>
      </w:r>
      <w:r w:rsidRPr="00CA217C">
        <w:rPr>
          <w:rFonts w:ascii="Arial" w:hAnsi="Arial"/>
          <w:sz w:val="24"/>
          <w:szCs w:val="24"/>
        </w:rPr>
        <w:t xml:space="preserve">. </w:t>
      </w:r>
    </w:p>
    <w:p w14:paraId="6CC4D8F4" w14:textId="77777777" w:rsidR="00D06E8D" w:rsidRPr="00CA217C" w:rsidRDefault="00D06E8D" w:rsidP="00D06E8D">
      <w:pPr>
        <w:spacing w:after="390" w:line="240" w:lineRule="auto"/>
        <w:ind w:left="720" w:hanging="720"/>
        <w:rPr>
          <w:rFonts w:ascii="Arial" w:hAnsi="Arial"/>
          <w:sz w:val="24"/>
          <w:szCs w:val="24"/>
        </w:rPr>
      </w:pPr>
      <w:r>
        <w:rPr>
          <w:rFonts w:ascii="Arial" w:hAnsi="Arial"/>
          <w:sz w:val="24"/>
          <w:szCs w:val="24"/>
        </w:rPr>
        <w:t>9.</w:t>
      </w:r>
      <w:r>
        <w:rPr>
          <w:rFonts w:ascii="Arial" w:hAnsi="Arial"/>
          <w:sz w:val="24"/>
          <w:szCs w:val="24"/>
        </w:rPr>
        <w:tab/>
      </w:r>
      <w:r w:rsidRPr="00CA217C">
        <w:rPr>
          <w:rFonts w:ascii="Arial" w:hAnsi="Arial"/>
          <w:sz w:val="24"/>
          <w:szCs w:val="24"/>
        </w:rPr>
        <w:t>Partnerships with universities and the private sector could also be developed in order to develop the methodological base and to enlarge and deepen the skill set of appraisers.</w:t>
      </w:r>
    </w:p>
    <w:p w14:paraId="56C403E6" w14:textId="77777777" w:rsidR="00D06E8D" w:rsidRDefault="00D06E8D" w:rsidP="00D06E8D">
      <w:pPr>
        <w:spacing w:after="390" w:line="240" w:lineRule="auto"/>
        <w:ind w:left="720" w:hanging="720"/>
        <w:rPr>
          <w:rFonts w:ascii="Arial" w:hAnsi="Arial"/>
          <w:sz w:val="24"/>
          <w:szCs w:val="24"/>
        </w:rPr>
      </w:pPr>
      <w:r>
        <w:rPr>
          <w:rFonts w:ascii="Arial" w:hAnsi="Arial"/>
          <w:sz w:val="24"/>
          <w:szCs w:val="24"/>
        </w:rPr>
        <w:t>10.</w:t>
      </w:r>
      <w:r>
        <w:rPr>
          <w:rFonts w:ascii="Arial" w:hAnsi="Arial"/>
          <w:sz w:val="24"/>
          <w:szCs w:val="24"/>
        </w:rPr>
        <w:tab/>
      </w:r>
      <w:r w:rsidRPr="00CA217C">
        <w:rPr>
          <w:rFonts w:ascii="Arial" w:hAnsi="Arial"/>
          <w:sz w:val="24"/>
          <w:szCs w:val="24"/>
        </w:rPr>
        <w:t>The National Audit Office (NAO) should periodically audit DIP’s and their methodological bases.</w:t>
      </w:r>
    </w:p>
    <w:p w14:paraId="134A898F" w14:textId="77777777" w:rsidR="00D06E8D" w:rsidRDefault="00D06E8D" w:rsidP="00D06E8D">
      <w:pPr>
        <w:spacing w:after="390" w:line="240" w:lineRule="auto"/>
        <w:ind w:left="720" w:hanging="720"/>
        <w:rPr>
          <w:rFonts w:ascii="Arial" w:hAnsi="Arial"/>
          <w:sz w:val="24"/>
          <w:szCs w:val="24"/>
        </w:rPr>
      </w:pPr>
      <w:r>
        <w:rPr>
          <w:rFonts w:ascii="Arial" w:hAnsi="Arial"/>
          <w:sz w:val="24"/>
          <w:szCs w:val="24"/>
        </w:rPr>
        <w:lastRenderedPageBreak/>
        <w:t>11.</w:t>
      </w:r>
      <w:r>
        <w:rPr>
          <w:rFonts w:ascii="Arial" w:hAnsi="Arial"/>
          <w:sz w:val="24"/>
          <w:szCs w:val="24"/>
        </w:rPr>
        <w:tab/>
        <w:t xml:space="preserve">The future availability and planning of </w:t>
      </w:r>
      <w:proofErr w:type="spellStart"/>
      <w:r>
        <w:rPr>
          <w:rFonts w:ascii="Arial" w:hAnsi="Arial"/>
          <w:sz w:val="24"/>
          <w:szCs w:val="24"/>
        </w:rPr>
        <w:t>labour</w:t>
      </w:r>
      <w:proofErr w:type="spellEnd"/>
      <w:r>
        <w:rPr>
          <w:rFonts w:ascii="Arial" w:hAnsi="Arial"/>
          <w:sz w:val="24"/>
          <w:szCs w:val="24"/>
        </w:rPr>
        <w:t xml:space="preserve"> and material inputs critical to the requirements of the Infrastructure Pipeline should be subject to joint IPA-NIC review, in partnership with the private sector. </w:t>
      </w:r>
    </w:p>
    <w:p w14:paraId="6AC338E3" w14:textId="77777777" w:rsidR="00D06E8D" w:rsidRDefault="00D06E8D" w:rsidP="00D06E8D">
      <w:pPr>
        <w:spacing w:after="390" w:line="240" w:lineRule="auto"/>
        <w:ind w:left="720" w:hanging="720"/>
        <w:rPr>
          <w:rFonts w:ascii="Arial" w:hAnsi="Arial"/>
          <w:sz w:val="24"/>
          <w:szCs w:val="24"/>
        </w:rPr>
      </w:pPr>
      <w:r>
        <w:rPr>
          <w:rFonts w:ascii="Arial" w:hAnsi="Arial"/>
          <w:sz w:val="24"/>
          <w:szCs w:val="24"/>
        </w:rPr>
        <w:t>12.</w:t>
      </w:r>
      <w:r>
        <w:rPr>
          <w:rFonts w:ascii="Arial" w:hAnsi="Arial"/>
          <w:sz w:val="24"/>
          <w:szCs w:val="24"/>
        </w:rPr>
        <w:tab/>
        <w:t>T</w:t>
      </w:r>
      <w:r w:rsidRPr="00D85945">
        <w:rPr>
          <w:rFonts w:ascii="Arial" w:hAnsi="Arial"/>
          <w:sz w:val="24"/>
          <w:szCs w:val="24"/>
        </w:rPr>
        <w:t xml:space="preserve">he definition of infrastructural investment should be widened to </w:t>
      </w:r>
      <w:r>
        <w:rPr>
          <w:rFonts w:ascii="Arial" w:hAnsi="Arial"/>
          <w:sz w:val="24"/>
          <w:szCs w:val="24"/>
        </w:rPr>
        <w:t xml:space="preserve">cover social infrastructure, </w:t>
      </w:r>
      <w:r w:rsidRPr="00D85945">
        <w:rPr>
          <w:rFonts w:ascii="Arial" w:hAnsi="Arial"/>
          <w:sz w:val="24"/>
          <w:szCs w:val="24"/>
        </w:rPr>
        <w:t>includ</w:t>
      </w:r>
      <w:r>
        <w:rPr>
          <w:rFonts w:ascii="Arial" w:hAnsi="Arial"/>
          <w:sz w:val="24"/>
          <w:szCs w:val="24"/>
        </w:rPr>
        <w:t xml:space="preserve">ing </w:t>
      </w:r>
      <w:r w:rsidRPr="00D85945">
        <w:rPr>
          <w:rFonts w:ascii="Arial" w:hAnsi="Arial"/>
          <w:sz w:val="24"/>
          <w:szCs w:val="24"/>
        </w:rPr>
        <w:t xml:space="preserve">housing. </w:t>
      </w:r>
    </w:p>
    <w:p w14:paraId="0FE77CF3" w14:textId="77777777" w:rsidR="00D06E8D" w:rsidRPr="005D3AB8" w:rsidRDefault="00D06E8D" w:rsidP="00D06E8D">
      <w:pPr>
        <w:spacing w:after="390" w:line="240" w:lineRule="auto"/>
        <w:ind w:left="720" w:hanging="720"/>
        <w:rPr>
          <w:rFonts w:ascii="Arial" w:hAnsi="Arial"/>
          <w:i/>
          <w:iCs/>
          <w:sz w:val="24"/>
          <w:szCs w:val="24"/>
        </w:rPr>
      </w:pPr>
      <w:r>
        <w:rPr>
          <w:rFonts w:ascii="Arial" w:hAnsi="Arial"/>
          <w:sz w:val="24"/>
          <w:szCs w:val="24"/>
        </w:rPr>
        <w:t>13</w:t>
      </w:r>
      <w:r>
        <w:rPr>
          <w:rFonts w:ascii="Arial" w:hAnsi="Arial"/>
          <w:sz w:val="24"/>
          <w:szCs w:val="24"/>
        </w:rPr>
        <w:tab/>
        <w:t>Sectoral and Departmental infrastructure strategies should identify, address, foster, and link to joined-up policy efforts to make public investment less costly in net public expenditure terms. This should be done, within the DIP process, by addressing market failures, inducing greater competition, and identifying innovative public funding mechanisms, with the support of the IPA and NIC.</w:t>
      </w:r>
    </w:p>
    <w:p w14:paraId="308FA0C6" w14:textId="77777777" w:rsidR="00D06E8D" w:rsidRDefault="00D06E8D" w:rsidP="00D06E8D">
      <w:pPr>
        <w:spacing w:after="390" w:line="240" w:lineRule="auto"/>
        <w:ind w:left="720" w:hanging="720"/>
        <w:rPr>
          <w:rFonts w:ascii="Arial" w:hAnsi="Arial"/>
          <w:sz w:val="24"/>
          <w:szCs w:val="24"/>
        </w:rPr>
      </w:pPr>
      <w:r w:rsidRPr="00F71F40">
        <w:rPr>
          <w:rFonts w:ascii="Arial" w:hAnsi="Arial"/>
          <w:sz w:val="24"/>
          <w:szCs w:val="24"/>
        </w:rPr>
        <w:t>14.</w:t>
      </w:r>
      <w:r>
        <w:rPr>
          <w:rFonts w:ascii="Arial" w:eastAsia="Times New Roman" w:hAnsi="Arial" w:cs="Times New Roman"/>
          <w:b/>
          <w:color w:val="666666"/>
          <w:sz w:val="24"/>
          <w:szCs w:val="24"/>
        </w:rPr>
        <w:tab/>
      </w:r>
      <w:r w:rsidRPr="00E76412">
        <w:rPr>
          <w:rFonts w:ascii="Arial" w:hAnsi="Arial"/>
          <w:sz w:val="24"/>
          <w:szCs w:val="24"/>
        </w:rPr>
        <w:t>A</w:t>
      </w:r>
      <w:r w:rsidRPr="00E13131">
        <w:rPr>
          <w:rFonts w:ascii="Arial" w:hAnsi="Arial"/>
          <w:sz w:val="24"/>
          <w:szCs w:val="24"/>
        </w:rPr>
        <w:t xml:space="preserve"> dedicated funding intermediary </w:t>
      </w:r>
      <w:r>
        <w:rPr>
          <w:rFonts w:ascii="Arial" w:hAnsi="Arial"/>
          <w:sz w:val="24"/>
          <w:szCs w:val="24"/>
        </w:rPr>
        <w:t xml:space="preserve">should be established </w:t>
      </w:r>
      <w:r w:rsidRPr="00E13131">
        <w:rPr>
          <w:rFonts w:ascii="Arial" w:hAnsi="Arial"/>
          <w:sz w:val="24"/>
          <w:szCs w:val="24"/>
        </w:rPr>
        <w:t>that could take equity stakes in economic and social infrastructure</w:t>
      </w:r>
      <w:r>
        <w:rPr>
          <w:rFonts w:ascii="Arial" w:hAnsi="Arial"/>
          <w:sz w:val="24"/>
          <w:szCs w:val="24"/>
        </w:rPr>
        <w:t>,</w:t>
      </w:r>
      <w:r w:rsidRPr="00E13131">
        <w:rPr>
          <w:rFonts w:ascii="Arial" w:hAnsi="Arial"/>
          <w:sz w:val="24"/>
          <w:szCs w:val="24"/>
        </w:rPr>
        <w:t xml:space="preserve"> where long-term return (for example, linked to revenue streams, such as rents rising with inflation</w:t>
      </w:r>
      <w:r>
        <w:rPr>
          <w:rFonts w:ascii="Arial" w:hAnsi="Arial"/>
          <w:sz w:val="24"/>
          <w:szCs w:val="24"/>
        </w:rPr>
        <w:t>, interest on loans, profit-shares</w:t>
      </w:r>
      <w:r w:rsidRPr="00E13131">
        <w:rPr>
          <w:rFonts w:ascii="Arial" w:hAnsi="Arial"/>
          <w:sz w:val="24"/>
          <w:szCs w:val="24"/>
        </w:rPr>
        <w:t xml:space="preserve">) could be realized </w:t>
      </w:r>
      <w:r>
        <w:rPr>
          <w:rFonts w:ascii="Arial" w:hAnsi="Arial"/>
          <w:sz w:val="24"/>
          <w:szCs w:val="24"/>
        </w:rPr>
        <w:t xml:space="preserve">and recycled across the lifetime of the project. </w:t>
      </w:r>
    </w:p>
    <w:p w14:paraId="588A6E84" w14:textId="77777777" w:rsidR="00D06E8D" w:rsidRDefault="00D06E8D"/>
    <w:sectPr w:rsidR="00D06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8D"/>
    <w:rsid w:val="00D0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EB21"/>
  <w15:chartTrackingRefBased/>
  <w15:docId w15:val="{F6F562E5-F8F6-47F7-933D-C4D15CE3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Newton</dc:creator>
  <cp:keywords/>
  <dc:description/>
  <cp:lastModifiedBy>John Newton</cp:lastModifiedBy>
  <cp:revision>1</cp:revision>
  <dcterms:created xsi:type="dcterms:W3CDTF">2019-06-13T16:34:00Z</dcterms:created>
  <dcterms:modified xsi:type="dcterms:W3CDTF">2019-06-13T16:41:00Z</dcterms:modified>
</cp:coreProperties>
</file>